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Dax-Regular" w:hAnsi="Dax-Regular"/>
          <w:sz w:val="18"/>
          <w:szCs w:val="18"/>
        </w:rPr>
        <w:id w:val="-1814476982"/>
        <w:lock w:val="contentLocked"/>
        <w:placeholder>
          <w:docPart w:val="DefaultPlaceholder_1082065158"/>
        </w:placeholder>
        <w:group/>
      </w:sdtPr>
      <w:sdtEndPr>
        <w:rPr>
          <w:rFonts w:cs="Times New Roman"/>
          <w:sz w:val="22"/>
          <w:szCs w:val="22"/>
        </w:rPr>
      </w:sdtEndPr>
      <w:sdtContent>
        <w:p w:rsidR="00E6434F" w:rsidRPr="006D6FE8" w:rsidRDefault="00E6434F" w:rsidP="00E92965">
          <w:pPr>
            <w:spacing w:after="0" w:line="240" w:lineRule="auto"/>
            <w:rPr>
              <w:rFonts w:ascii="Dax-Regular" w:hAnsi="Dax-Regular"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85"/>
          </w:tblGrid>
          <w:tr w:rsidR="007768E8" w:rsidRPr="007768E8" w:rsidTr="00E6434F">
            <w:trPr>
              <w:trHeight w:val="432"/>
            </w:trPr>
            <w:tc>
              <w:tcPr>
                <w:tcW w:w="11016" w:type="dxa"/>
                <w:shd w:val="clear" w:color="auto" w:fill="548DD4" w:themeFill="text2" w:themeFillTint="99"/>
                <w:vAlign w:val="center"/>
              </w:tcPr>
              <w:p w:rsidR="00E92965" w:rsidRPr="007768E8" w:rsidRDefault="00E92965" w:rsidP="004B15BB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7768E8"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  <w:t>Self-Evaluation – Points to guide discussions related to each QI.</w:t>
                </w:r>
              </w:p>
            </w:tc>
          </w:tr>
          <w:tr w:rsidR="00E92965" w:rsidRPr="006D6FE8" w:rsidTr="004B15BB">
            <w:trPr>
              <w:trHeight w:val="432"/>
            </w:trPr>
            <w:tc>
              <w:tcPr>
                <w:tcW w:w="11016" w:type="dxa"/>
                <w:vAlign w:val="center"/>
              </w:tcPr>
              <w:p w:rsidR="00E92965" w:rsidRPr="00E51C03" w:rsidRDefault="00E92965" w:rsidP="004B15BB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</w:pPr>
                <w:r w:rsidRPr="00E51C03"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>Quality Indicator 1.1 – Students’ attain</w:t>
                </w:r>
                <w:bookmarkStart w:id="0" w:name="_GoBack"/>
                <w:bookmarkEnd w:id="0"/>
                <w:r w:rsidRPr="00E51C03"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 xml:space="preserve">ment in key subjects     </w:t>
                </w:r>
              </w:p>
            </w:tc>
          </w:tr>
        </w:tbl>
        <w:p w:rsidR="00E92965" w:rsidRPr="00E51C03" w:rsidRDefault="00E92965" w:rsidP="00E855C8">
          <w:pPr>
            <w:pStyle w:val="ListParagraph"/>
            <w:spacing w:before="120" w:after="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Discussion points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32"/>
            </w:trPr>
            <w:tc>
              <w:tcPr>
                <w:tcW w:w="11016" w:type="dxa"/>
                <w:shd w:val="clear" w:color="auto" w:fill="C6D9F1" w:themeFill="text2" w:themeFillTint="33"/>
                <w:vAlign w:val="center"/>
              </w:tcPr>
              <w:p w:rsidR="00E92965" w:rsidRPr="00E6434F" w:rsidRDefault="00E92965" w:rsidP="004B15BB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1.1 Attainment</w:t>
                </w:r>
              </w:p>
            </w:tc>
          </w:tr>
        </w:tbl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Consider: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students’ knowledge, skills and und</w:t>
          </w:r>
          <w:r w:rsidR="00EF380E" w:rsidRPr="00E51C03">
            <w:rPr>
              <w:rFonts w:ascii="Dax-Regular" w:hAnsi="Dax-Regular"/>
              <w:sz w:val="22"/>
              <w:szCs w:val="22"/>
            </w:rPr>
            <w:t>erstanding in all key subjects;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the suitability of the criteria we use for measuring </w:t>
          </w:r>
          <w:r w:rsidR="00FF0486">
            <w:rPr>
              <w:rFonts w:ascii="Dax-Regular" w:hAnsi="Dax-Regular"/>
              <w:sz w:val="22"/>
              <w:szCs w:val="22"/>
            </w:rPr>
            <w:t>attainment</w:t>
          </w:r>
          <w:r w:rsidRPr="00E51C03">
            <w:rPr>
              <w:rFonts w:ascii="Dax-Regular" w:hAnsi="Dax-Regular"/>
              <w:sz w:val="22"/>
              <w:szCs w:val="22"/>
            </w:rPr>
            <w:t>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gaps, if any, that exist in students’ knowledge, understanding and skills;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how well do our internal assessments compare with international expectations such as TIMSS, PIRLS and PISA; </w:t>
          </w:r>
        </w:p>
        <w:p w:rsidR="00E92965" w:rsidRPr="00FF0486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color w:val="00B050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the proportion of students in each grade and/or phase that attain levels that are </w:t>
          </w:r>
          <w:r w:rsidRPr="00FF0486">
            <w:rPr>
              <w:rFonts w:ascii="Dax-Regular" w:hAnsi="Dax-Regular"/>
              <w:b/>
              <w:color w:val="FF0000"/>
              <w:sz w:val="22"/>
              <w:szCs w:val="22"/>
              <w:shd w:val="clear" w:color="auto" w:fill="FFFFFF" w:themeFill="background1"/>
            </w:rPr>
            <w:t>below</w:t>
          </w:r>
          <w:r w:rsidRPr="00E51C03">
            <w:rPr>
              <w:rFonts w:ascii="Dax-Regular" w:hAnsi="Dax-Regular"/>
              <w:sz w:val="22"/>
              <w:szCs w:val="22"/>
            </w:rPr>
            <w:t xml:space="preserve">, </w:t>
          </w:r>
          <w:r w:rsidRPr="00FF0486">
            <w:rPr>
              <w:rFonts w:ascii="Dax-Regular" w:hAnsi="Dax-Regular"/>
              <w:b/>
              <w:sz w:val="22"/>
              <w:szCs w:val="22"/>
            </w:rPr>
            <w:t>in-line,</w:t>
          </w:r>
          <w:r w:rsidRPr="00E51C03">
            <w:rPr>
              <w:rFonts w:ascii="Dax-Regular" w:hAnsi="Dax-Regular"/>
              <w:sz w:val="22"/>
              <w:szCs w:val="22"/>
            </w:rPr>
            <w:t xml:space="preserve"> </w:t>
          </w:r>
          <w:r w:rsidRPr="00FF0486">
            <w:rPr>
              <w:rFonts w:ascii="Dax-Regular" w:hAnsi="Dax-Regular"/>
              <w:b/>
              <w:color w:val="0000FF"/>
              <w:sz w:val="22"/>
              <w:szCs w:val="22"/>
            </w:rPr>
            <w:t>above</w:t>
          </w:r>
          <w:r w:rsidRPr="00E51C03">
            <w:rPr>
              <w:rFonts w:ascii="Dax-Regular" w:hAnsi="Dax-Regular"/>
              <w:sz w:val="22"/>
              <w:szCs w:val="22"/>
            </w:rPr>
            <w:t xml:space="preserve"> and </w:t>
          </w:r>
          <w:r w:rsidRPr="00FF0486">
            <w:rPr>
              <w:rFonts w:ascii="Dax-Regular" w:hAnsi="Dax-Regular"/>
              <w:b/>
              <w:color w:val="00B050"/>
              <w:sz w:val="22"/>
              <w:szCs w:val="22"/>
            </w:rPr>
            <w:t>well above</w:t>
          </w:r>
          <w:r w:rsidRPr="00FF0486">
            <w:rPr>
              <w:rFonts w:ascii="Dax-Regular" w:hAnsi="Dax-Regular"/>
              <w:color w:val="00B050"/>
              <w:sz w:val="22"/>
              <w:szCs w:val="22"/>
            </w:rPr>
            <w:t xml:space="preserve"> </w:t>
          </w:r>
          <w:r w:rsidRPr="00FF0486">
            <w:rPr>
              <w:rFonts w:ascii="Dax-Regular" w:hAnsi="Dax-Regular"/>
              <w:sz w:val="22"/>
              <w:szCs w:val="22"/>
            </w:rPr>
            <w:t>expectations;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emerging trends regarding students’ overall attainment;</w:t>
          </w:r>
        </w:p>
        <w:p w:rsidR="00E92965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attainment of Emirati students.</w:t>
          </w:r>
        </w:p>
        <w:p w:rsidR="005E42AF" w:rsidRDefault="005E42AF" w:rsidP="005E42AF">
          <w:pPr>
            <w:pStyle w:val="ListParagraph"/>
            <w:spacing w:before="120" w:line="360" w:lineRule="auto"/>
            <w:ind w:left="1440"/>
            <w:jc w:val="left"/>
            <w:rPr>
              <w:rFonts w:ascii="Dax-Regular" w:hAnsi="Dax-Regular"/>
              <w:sz w:val="22"/>
              <w:szCs w:val="22"/>
            </w:rPr>
          </w:pPr>
        </w:p>
        <w:p w:rsidR="00812B4E" w:rsidRPr="00E51C03" w:rsidRDefault="00812B4E" w:rsidP="005E42AF">
          <w:pPr>
            <w:pStyle w:val="ListParagraph"/>
            <w:spacing w:before="120" w:line="360" w:lineRule="auto"/>
            <w:ind w:left="1440"/>
            <w:jc w:val="left"/>
            <w:rPr>
              <w:rFonts w:ascii="Dax-Regular" w:hAnsi="Dax-Regular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7768E8" w:rsidRPr="007768E8" w:rsidTr="00812B4E">
            <w:trPr>
              <w:trHeight w:val="432"/>
            </w:trPr>
            <w:tc>
              <w:tcPr>
                <w:tcW w:w="10685" w:type="dxa"/>
                <w:shd w:val="clear" w:color="auto" w:fill="548DD4" w:themeFill="text2" w:themeFillTint="99"/>
                <w:vAlign w:val="center"/>
              </w:tcPr>
              <w:p w:rsidR="00E92965" w:rsidRPr="007768E8" w:rsidRDefault="00E92965" w:rsidP="004B15BB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7768E8"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  <w:t>Self-Evaluation – Points to guide discussions related to each QI.</w:t>
                </w:r>
              </w:p>
            </w:tc>
          </w:tr>
          <w:tr w:rsidR="00E92965" w:rsidRPr="00E51C03" w:rsidTr="004B15BB">
            <w:trPr>
              <w:trHeight w:val="432"/>
            </w:trPr>
            <w:tc>
              <w:tcPr>
                <w:tcW w:w="10685" w:type="dxa"/>
                <w:vAlign w:val="center"/>
              </w:tcPr>
              <w:p w:rsidR="00E92965" w:rsidRPr="00E51C03" w:rsidRDefault="00E92965" w:rsidP="004B15BB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</w:pPr>
                <w:r w:rsidRPr="00E51C03"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 xml:space="preserve">Quality Indicator 1.2 – Students’ progress in key subjects </w:t>
                </w:r>
              </w:p>
            </w:tc>
          </w:tr>
        </w:tbl>
        <w:p w:rsidR="00E92965" w:rsidRPr="00E51C03" w:rsidRDefault="00E92965" w:rsidP="00E855C8">
          <w:pPr>
            <w:pStyle w:val="ListParagraph"/>
            <w:spacing w:before="120" w:after="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Discussion points</w:t>
          </w:r>
        </w:p>
        <w:tbl>
          <w:tblPr>
            <w:tblStyle w:val="TableGrid"/>
            <w:tblW w:w="5000" w:type="pct"/>
            <w:tblInd w:w="18" w:type="dxa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32"/>
            </w:trPr>
            <w:tc>
              <w:tcPr>
                <w:tcW w:w="10998" w:type="dxa"/>
                <w:shd w:val="clear" w:color="auto" w:fill="C6D9F1" w:themeFill="text2" w:themeFillTint="33"/>
                <w:vAlign w:val="center"/>
              </w:tcPr>
              <w:p w:rsidR="00E92965" w:rsidRPr="00E6434F" w:rsidRDefault="00E92965" w:rsidP="004B15BB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1.2 Progress</w:t>
                </w:r>
              </w:p>
            </w:tc>
          </w:tr>
        </w:tbl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Consider: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the accuracy of our view of </w:t>
          </w:r>
          <w:r w:rsidRPr="00FF0486">
            <w:rPr>
              <w:rFonts w:ascii="Dax-Regular" w:hAnsi="Dax-Regular"/>
              <w:sz w:val="22"/>
              <w:szCs w:val="22"/>
              <w:u w:val="single"/>
            </w:rPr>
            <w:t>all</w:t>
          </w:r>
          <w:r w:rsidR="00FF0486">
            <w:rPr>
              <w:rFonts w:ascii="Dax-Regular" w:hAnsi="Dax-Regular"/>
              <w:sz w:val="22"/>
              <w:szCs w:val="22"/>
            </w:rPr>
            <w:t xml:space="preserve"> students’ starting points;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gains made by individuals and groups in their knowledge, skills and understanding across all aspects of each subject, for example</w:t>
          </w:r>
          <w:r w:rsidR="00FF0486">
            <w:rPr>
              <w:rFonts w:ascii="Dax-Regular" w:hAnsi="Dax-Regular"/>
              <w:sz w:val="22"/>
              <w:szCs w:val="22"/>
            </w:rPr>
            <w:t>,</w:t>
          </w:r>
          <w:r w:rsidRPr="00E51C03">
            <w:rPr>
              <w:rFonts w:ascii="Dax-Regular" w:hAnsi="Dax-Regular"/>
              <w:sz w:val="22"/>
              <w:szCs w:val="22"/>
            </w:rPr>
            <w:t xml:space="preserve"> the four aspects of language; 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proportion of students in each grade/phase that make unsatisfactory, acceptable, good or outstanding progress from their starting points;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measurement used to quantify this progress;</w:t>
          </w:r>
        </w:p>
        <w:p w:rsidR="00E92965" w:rsidRDefault="004D13EF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>
            <w:rPr>
              <w:rFonts w:ascii="Dax-Regular" w:hAnsi="Dax-Regular"/>
              <w:sz w:val="22"/>
              <w:szCs w:val="22"/>
            </w:rPr>
            <w:t>progress of Emirati students;</w:t>
          </w:r>
        </w:p>
        <w:p w:rsidR="004D13EF" w:rsidRDefault="004D13EF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>
            <w:rPr>
              <w:rFonts w:ascii="Dax-Regular" w:hAnsi="Dax-Regular"/>
              <w:sz w:val="22"/>
              <w:szCs w:val="22"/>
            </w:rPr>
            <w:t>progress of students with Special Educational Needs (SEN) using the DSIB definition (Handbook 2011-2012.)</w:t>
          </w:r>
        </w:p>
        <w:p w:rsidR="00E51C03" w:rsidRDefault="00E51C03" w:rsidP="00E51C03">
          <w:p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p w:rsidR="00E51C03" w:rsidRDefault="00E51C03" w:rsidP="00E51C03">
          <w:p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p w:rsidR="00E6434F" w:rsidRDefault="00E6434F" w:rsidP="00E51C03">
          <w:p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7768E8" w:rsidRPr="007768E8" w:rsidTr="00E6434F">
            <w:trPr>
              <w:trHeight w:val="432"/>
            </w:trPr>
            <w:tc>
              <w:tcPr>
                <w:tcW w:w="0" w:type="auto"/>
                <w:shd w:val="clear" w:color="auto" w:fill="548DD4" w:themeFill="text2" w:themeFillTint="99"/>
                <w:vAlign w:val="center"/>
              </w:tcPr>
              <w:p w:rsidR="00E92965" w:rsidRPr="007768E8" w:rsidRDefault="00E92965" w:rsidP="00BB3F30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7768E8"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  <w:t>Self-Evaluation – Points to guide discussions related to each QI.</w:t>
                </w:r>
              </w:p>
            </w:tc>
          </w:tr>
          <w:tr w:rsidR="00E92965" w:rsidRPr="00E51C03" w:rsidTr="00BB3F30">
            <w:trPr>
              <w:trHeight w:val="432"/>
            </w:trPr>
            <w:tc>
              <w:tcPr>
                <w:tcW w:w="0" w:type="auto"/>
                <w:vAlign w:val="center"/>
              </w:tcPr>
              <w:p w:rsidR="00E92965" w:rsidRPr="00E51C03" w:rsidRDefault="00E92965" w:rsidP="00BB3F30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</w:pPr>
                <w:r w:rsidRPr="00E51C03"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 xml:space="preserve">Quality Indicator 2 - How Good is the Students’ Personal and Social Development?  </w:t>
                </w:r>
              </w:p>
            </w:tc>
          </w:tr>
        </w:tbl>
        <w:p w:rsidR="00E92965" w:rsidRPr="00E51C03" w:rsidRDefault="00E92965" w:rsidP="00E855C8">
          <w:pPr>
            <w:pStyle w:val="ListParagraph"/>
            <w:spacing w:before="120" w:after="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Discussion Points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22"/>
            </w:trPr>
            <w:tc>
              <w:tcPr>
                <w:tcW w:w="11016" w:type="dxa"/>
                <w:shd w:val="clear" w:color="auto" w:fill="C6D9F1" w:themeFill="text2" w:themeFillTint="33"/>
                <w:vAlign w:val="center"/>
              </w:tcPr>
              <w:p w:rsidR="00E92965" w:rsidRPr="00E6434F" w:rsidRDefault="00E92965" w:rsidP="008D7E04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2.1 Attitudes and behaviour</w:t>
                </w:r>
              </w:p>
            </w:tc>
          </w:tr>
        </w:tbl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Consider students’: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self-discipline and confidence;</w:t>
          </w:r>
        </w:p>
        <w:p w:rsidR="00E92965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response to adults and each other;</w:t>
          </w:r>
        </w:p>
        <w:p w:rsidR="005E42AF" w:rsidRPr="005E42AF" w:rsidRDefault="005E42AF" w:rsidP="005E42AF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5E42AF">
            <w:rPr>
              <w:rFonts w:ascii="Dax-Regular" w:hAnsi="Dax-Regular"/>
              <w:sz w:val="22"/>
              <w:szCs w:val="22"/>
            </w:rPr>
            <w:t>positions of responsibility;</w:t>
          </w:r>
        </w:p>
        <w:p w:rsidR="005E42AF" w:rsidRPr="004D13EF" w:rsidRDefault="005E42AF" w:rsidP="005E42AF">
          <w:pPr>
            <w:pStyle w:val="ListParagraph"/>
            <w:numPr>
              <w:ilvl w:val="0"/>
              <w:numId w:val="12"/>
            </w:numPr>
            <w:spacing w:before="120"/>
            <w:rPr>
              <w:rFonts w:ascii="Dax-Regular" w:hAnsi="Dax-Regular"/>
              <w:sz w:val="22"/>
              <w:szCs w:val="22"/>
            </w:rPr>
          </w:pPr>
          <w:r w:rsidRPr="004D13EF">
            <w:rPr>
              <w:rFonts w:ascii="Dax-Regular" w:hAnsi="Dax-Regular"/>
              <w:sz w:val="22"/>
              <w:szCs w:val="22"/>
            </w:rPr>
            <w:t>respect and consideration for others;</w:t>
          </w:r>
        </w:p>
        <w:p w:rsidR="00E92965" w:rsidRPr="004D13EF" w:rsidRDefault="00E92965" w:rsidP="005E42AF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4D13EF">
            <w:rPr>
              <w:rFonts w:ascii="Dax-Regular" w:hAnsi="Dax-Regular"/>
              <w:sz w:val="22"/>
              <w:szCs w:val="22"/>
            </w:rPr>
            <w:t>conflict resolution;</w:t>
          </w:r>
        </w:p>
        <w:p w:rsidR="00E92965" w:rsidRPr="00E51C03" w:rsidRDefault="00E92965" w:rsidP="005E42AF">
          <w:pPr>
            <w:pStyle w:val="ListParagraph"/>
            <w:numPr>
              <w:ilvl w:val="0"/>
              <w:numId w:val="12"/>
            </w:numPr>
            <w:spacing w:after="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independence and tolerance;</w:t>
          </w:r>
        </w:p>
        <w:p w:rsidR="00E92965" w:rsidRPr="00E51C03" w:rsidRDefault="00E92965" w:rsidP="005E42AF">
          <w:pPr>
            <w:pStyle w:val="ListParagraph"/>
            <w:numPr>
              <w:ilvl w:val="0"/>
              <w:numId w:val="12"/>
            </w:numPr>
            <w:spacing w:after="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commitment to healthy lifestyle choices;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levels of attendance and punctuality. 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05"/>
            </w:trPr>
            <w:tc>
              <w:tcPr>
                <w:tcW w:w="10685" w:type="dxa"/>
                <w:shd w:val="clear" w:color="auto" w:fill="C6D9F1" w:themeFill="text2" w:themeFillTint="33"/>
                <w:vAlign w:val="center"/>
              </w:tcPr>
              <w:p w:rsidR="00E92965" w:rsidRPr="00E6434F" w:rsidRDefault="00757EC0" w:rsidP="00757EC0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2.2 U</w:t>
                </w:r>
                <w:r w:rsidRPr="00757EC0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nderstanding of Islam and appreciation of local traditions and culture</w:t>
                </w:r>
              </w:p>
            </w:tc>
          </w:tr>
        </w:tbl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Consider students’: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levels of understanding and appreciation of Islam;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understanding and appreciation of the multi-cultural nature of Dubai and the national identity of the UAE;</w:t>
          </w:r>
        </w:p>
        <w:p w:rsidR="00E92965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knowledge and understanding of the traditions, </w:t>
          </w:r>
          <w:r w:rsidR="005E42AF">
            <w:rPr>
              <w:rFonts w:ascii="Dax-Regular" w:hAnsi="Dax-Regular"/>
              <w:sz w:val="22"/>
              <w:szCs w:val="22"/>
            </w:rPr>
            <w:t>culture and heritage of Dubai;</w:t>
          </w:r>
        </w:p>
        <w:p w:rsidR="005E42AF" w:rsidRDefault="005E42AF" w:rsidP="005E42AF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>
            <w:rPr>
              <w:rFonts w:ascii="Dax-Regular" w:hAnsi="Dax-Regular"/>
              <w:sz w:val="22"/>
              <w:szCs w:val="22"/>
            </w:rPr>
            <w:t>knowledge and understanding of wider world cultures.</w:t>
          </w:r>
        </w:p>
        <w:p w:rsidR="005E42AF" w:rsidRPr="005E42AF" w:rsidRDefault="005E42AF" w:rsidP="005E42AF">
          <w:pPr>
            <w:pStyle w:val="ListParagraph"/>
            <w:spacing w:before="120" w:line="360" w:lineRule="auto"/>
            <w:ind w:left="1440"/>
            <w:jc w:val="left"/>
            <w:rPr>
              <w:rFonts w:ascii="Dax-Regular" w:hAnsi="Dax-Regular"/>
              <w:sz w:val="22"/>
              <w:szCs w:val="22"/>
            </w:rPr>
          </w:pPr>
        </w:p>
        <w:tbl>
          <w:tblPr>
            <w:tblStyle w:val="TableGrid"/>
            <w:tblW w:w="5000" w:type="pct"/>
            <w:shd w:val="clear" w:color="auto" w:fill="C6D9F1" w:themeFill="text2" w:themeFillTint="33"/>
            <w:tblLook w:val="04A0" w:firstRow="1" w:lastRow="0" w:firstColumn="1" w:lastColumn="0" w:noHBand="0" w:noVBand="1"/>
          </w:tblPr>
          <w:tblGrid>
            <w:gridCol w:w="10685"/>
          </w:tblGrid>
          <w:tr w:rsidR="00E6434F" w:rsidRPr="00E6434F" w:rsidTr="00E6434F">
            <w:trPr>
              <w:trHeight w:val="423"/>
            </w:trPr>
            <w:tc>
              <w:tcPr>
                <w:tcW w:w="10685" w:type="dxa"/>
                <w:shd w:val="clear" w:color="auto" w:fill="C6D9F1" w:themeFill="text2" w:themeFillTint="33"/>
                <w:vAlign w:val="center"/>
              </w:tcPr>
              <w:p w:rsidR="00E92965" w:rsidRPr="00E6434F" w:rsidRDefault="00E92965" w:rsidP="008D7E04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 xml:space="preserve">2.3 </w:t>
                </w:r>
                <w:r w:rsidR="00757EC0" w:rsidRPr="00757EC0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Civic, economic and environmental understanding</w:t>
                </w:r>
              </w:p>
            </w:tc>
          </w:tr>
        </w:tbl>
        <w:p w:rsidR="00E92965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Consider students’:</w:t>
          </w:r>
        </w:p>
        <w:p w:rsidR="005E42AF" w:rsidRPr="005E42AF" w:rsidRDefault="005E42AF" w:rsidP="005E42AF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5E42AF">
            <w:rPr>
              <w:rFonts w:ascii="Dax-Regular" w:hAnsi="Dax-Regular"/>
              <w:sz w:val="22"/>
              <w:szCs w:val="22"/>
            </w:rPr>
            <w:t>responsibility and contribution to the school and wider community;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understanding of how Dubai and the UAE have developed historically and economically;</w:t>
          </w:r>
        </w:p>
        <w:p w:rsidR="005E42AF" w:rsidRPr="004D13EF" w:rsidRDefault="005E42AF" w:rsidP="005E42AF">
          <w:pPr>
            <w:pStyle w:val="ListParagraph"/>
            <w:numPr>
              <w:ilvl w:val="0"/>
              <w:numId w:val="12"/>
            </w:numPr>
            <w:rPr>
              <w:rFonts w:ascii="Dax-Regular" w:hAnsi="Dax-Regular"/>
              <w:sz w:val="22"/>
              <w:szCs w:val="22"/>
            </w:rPr>
          </w:pPr>
          <w:r w:rsidRPr="004D13EF">
            <w:rPr>
              <w:rFonts w:ascii="Dax-Regular" w:hAnsi="Dax-Regular"/>
              <w:sz w:val="22"/>
              <w:szCs w:val="22"/>
            </w:rPr>
            <w:t>knowledge and understanding Dubai’s economic progress, and its place in the world;</w:t>
          </w:r>
        </w:p>
        <w:p w:rsidR="00E92965" w:rsidRPr="004D13EF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4D13EF">
            <w:rPr>
              <w:rFonts w:ascii="Dax-Regular" w:hAnsi="Dax-Regular"/>
              <w:sz w:val="22"/>
              <w:szCs w:val="22"/>
            </w:rPr>
            <w:t>level of care for their school and the local environment;</w:t>
          </w:r>
        </w:p>
        <w:p w:rsidR="00E92965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understanding of the need to protect local, national and world resources, including conservation and sustainability.</w:t>
          </w:r>
        </w:p>
        <w:p w:rsidR="00414FE9" w:rsidRDefault="00414FE9">
          <w:pPr>
            <w:spacing w:after="0" w:line="240" w:lineRule="auto"/>
            <w:jc w:val="left"/>
          </w:pPr>
          <w:r>
            <w:br w:type="page"/>
          </w:r>
        </w:p>
        <w:p w:rsidR="00812B4E" w:rsidRDefault="00812B4E" w:rsidP="00414FE9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7768E8" w:rsidRPr="007768E8" w:rsidTr="00E6434F">
            <w:trPr>
              <w:trHeight w:val="432"/>
            </w:trPr>
            <w:tc>
              <w:tcPr>
                <w:tcW w:w="10685" w:type="dxa"/>
                <w:shd w:val="clear" w:color="auto" w:fill="548DD4" w:themeFill="text2" w:themeFillTint="99"/>
                <w:vAlign w:val="center"/>
              </w:tcPr>
              <w:p w:rsidR="00E92965" w:rsidRPr="007768E8" w:rsidRDefault="00E92965" w:rsidP="008D7E04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7768E8"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  <w:t>Self-Evaluation – Points to guide discussions related to each QI.</w:t>
                </w:r>
              </w:p>
            </w:tc>
          </w:tr>
          <w:tr w:rsidR="00E92965" w:rsidRPr="00E51C03" w:rsidTr="008D7E04">
            <w:trPr>
              <w:trHeight w:val="432"/>
            </w:trPr>
            <w:tc>
              <w:tcPr>
                <w:tcW w:w="10685" w:type="dxa"/>
                <w:vAlign w:val="center"/>
              </w:tcPr>
              <w:p w:rsidR="00E92965" w:rsidRPr="00E51C03" w:rsidRDefault="00E92965" w:rsidP="008D7E04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</w:pPr>
                <w:r w:rsidRPr="00E51C03"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 xml:space="preserve">Quality Indicator 3 - How Good are the Teaching and Learning??     </w:t>
                </w:r>
              </w:p>
            </w:tc>
          </w:tr>
        </w:tbl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Discussion Points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85"/>
          </w:tblGrid>
          <w:tr w:rsidR="00E6434F" w:rsidRPr="00E6434F" w:rsidTr="00E6434F">
            <w:trPr>
              <w:trHeight w:val="377"/>
            </w:trPr>
            <w:tc>
              <w:tcPr>
                <w:tcW w:w="11016" w:type="dxa"/>
                <w:shd w:val="clear" w:color="auto" w:fill="C6D9F1" w:themeFill="text2" w:themeFillTint="33"/>
                <w:vAlign w:val="center"/>
              </w:tcPr>
              <w:p w:rsidR="00E92965" w:rsidRPr="00E6434F" w:rsidRDefault="00E92965" w:rsidP="008D7E04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3.1 Teaching for Effective Learning</w:t>
                </w:r>
              </w:p>
            </w:tc>
          </w:tr>
        </w:tbl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 xml:space="preserve">Consider teachers’: </w:t>
          </w:r>
        </w:p>
        <w:p w:rsidR="00E92965" w:rsidRPr="00E51C03" w:rsidRDefault="005016BE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>
            <w:rPr>
              <w:rFonts w:ascii="Dax-Regular" w:hAnsi="Dax-Regular"/>
              <w:sz w:val="22"/>
              <w:szCs w:val="22"/>
            </w:rPr>
            <w:t>k</w:t>
          </w:r>
          <w:r w:rsidR="00E92965" w:rsidRPr="00E51C03">
            <w:rPr>
              <w:rFonts w:ascii="Dax-Regular" w:hAnsi="Dax-Regular"/>
              <w:sz w:val="22"/>
              <w:szCs w:val="22"/>
            </w:rPr>
            <w:t>nowledge of their subjects and how to teach them;</w:t>
          </w:r>
        </w:p>
        <w:p w:rsidR="00E92965" w:rsidRPr="00E51C03" w:rsidRDefault="005016BE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>
            <w:rPr>
              <w:rFonts w:ascii="Dax-Regular" w:hAnsi="Dax-Regular"/>
              <w:sz w:val="22"/>
              <w:szCs w:val="22"/>
            </w:rPr>
            <w:t>u</w:t>
          </w:r>
          <w:r w:rsidR="00E92965" w:rsidRPr="00E51C03">
            <w:rPr>
              <w:rFonts w:ascii="Dax-Regular" w:hAnsi="Dax-Regular"/>
              <w:sz w:val="22"/>
              <w:szCs w:val="22"/>
            </w:rPr>
            <w:t>nderstanding of how students of various stages of development learn;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planning for different groups or individuals;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use of clear outcomes and appropriate activities; 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capacity to find out what the students already know, understand and are able to do when starting a new topic; 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time management;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use of sufficient and appropriate resources including ICT;</w:t>
          </w:r>
        </w:p>
        <w:p w:rsidR="005016BE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quality of interaction</w:t>
          </w:r>
          <w:r w:rsidR="005016BE">
            <w:rPr>
              <w:rFonts w:ascii="Dax-Regular" w:hAnsi="Dax-Regular"/>
              <w:sz w:val="22"/>
              <w:szCs w:val="22"/>
            </w:rPr>
            <w:t xml:space="preserve"> through dialogue and questions;</w:t>
          </w:r>
          <w:r w:rsidRPr="00E51C03">
            <w:rPr>
              <w:rFonts w:ascii="Dax-Regular" w:hAnsi="Dax-Regular"/>
              <w:sz w:val="22"/>
              <w:szCs w:val="22"/>
            </w:rPr>
            <w:t xml:space="preserve"> </w:t>
          </w:r>
        </w:p>
        <w:p w:rsidR="00E92965" w:rsidRPr="00E51C03" w:rsidRDefault="005016BE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>
            <w:rPr>
              <w:rFonts w:ascii="Dax-Regular" w:hAnsi="Dax-Regular"/>
              <w:sz w:val="22"/>
              <w:szCs w:val="22"/>
            </w:rPr>
            <w:t>q</w:t>
          </w:r>
          <w:r w:rsidR="00E92965" w:rsidRPr="00E51C03">
            <w:rPr>
              <w:rFonts w:ascii="Dax-Regular" w:hAnsi="Dax-Regular"/>
              <w:sz w:val="22"/>
              <w:szCs w:val="22"/>
            </w:rPr>
            <w:t xml:space="preserve">uestioning </w:t>
          </w:r>
          <w:r>
            <w:rPr>
              <w:rFonts w:ascii="Dax-Regular" w:hAnsi="Dax-Regular"/>
              <w:sz w:val="22"/>
              <w:szCs w:val="22"/>
            </w:rPr>
            <w:t>to</w:t>
          </w:r>
          <w:r w:rsidR="00E92965" w:rsidRPr="00E51C03">
            <w:rPr>
              <w:rFonts w:ascii="Dax-Regular" w:hAnsi="Dax-Regular"/>
              <w:sz w:val="22"/>
              <w:szCs w:val="22"/>
            </w:rPr>
            <w:t xml:space="preserve"> promot</w:t>
          </w:r>
          <w:r>
            <w:rPr>
              <w:rFonts w:ascii="Dax-Regular" w:hAnsi="Dax-Regular"/>
              <w:sz w:val="22"/>
              <w:szCs w:val="22"/>
            </w:rPr>
            <w:t xml:space="preserve">e </w:t>
          </w:r>
          <w:r w:rsidR="00E92965" w:rsidRPr="00E51C03">
            <w:rPr>
              <w:rFonts w:ascii="Dax-Regular" w:hAnsi="Dax-Regular"/>
              <w:sz w:val="22"/>
              <w:szCs w:val="22"/>
            </w:rPr>
            <w:t>reflection and thinking;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understanding of how to help students who</w:t>
          </w:r>
          <w:r w:rsidR="005016BE">
            <w:rPr>
              <w:rFonts w:ascii="Dax-Regular" w:hAnsi="Dax-Regular"/>
              <w:sz w:val="22"/>
              <w:szCs w:val="22"/>
            </w:rPr>
            <w:t xml:space="preserve"> are finding learning difficult.</w:t>
          </w:r>
          <w:r w:rsidRPr="00E51C03">
            <w:rPr>
              <w:rFonts w:ascii="Dax-Regular" w:hAnsi="Dax-Regular"/>
              <w:sz w:val="22"/>
              <w:szCs w:val="22"/>
            </w:rPr>
            <w:t xml:space="preserve"> </w:t>
          </w:r>
        </w:p>
        <w:p w:rsidR="00E92965" w:rsidRDefault="00204E08" w:rsidP="00E92965">
          <w:pPr>
            <w:spacing w:after="0" w:line="240" w:lineRule="auto"/>
            <w:rPr>
              <w:rFonts w:ascii="Dax-Regular" w:hAnsi="Dax-Regular"/>
              <w:b/>
              <w:color w:val="C00000"/>
              <w:sz w:val="22"/>
              <w:szCs w:val="22"/>
            </w:rPr>
          </w:pPr>
          <w:r w:rsidRPr="00204E08">
            <w:rPr>
              <w:rFonts w:ascii="Dax-Regular" w:hAnsi="Dax-Regular"/>
              <w:b/>
              <w:color w:val="C00000"/>
              <w:sz w:val="22"/>
              <w:szCs w:val="22"/>
            </w:rPr>
            <w:t>Discussion Points</w:t>
          </w:r>
        </w:p>
        <w:p w:rsidR="00204E08" w:rsidRPr="00204E08" w:rsidRDefault="00204E08" w:rsidP="00E92965">
          <w:pPr>
            <w:spacing w:after="0" w:line="240" w:lineRule="auto"/>
            <w:rPr>
              <w:rFonts w:ascii="Dax-Regular" w:hAnsi="Dax-Regular"/>
              <w:b/>
              <w:color w:val="C00000"/>
              <w:sz w:val="22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395"/>
            </w:trPr>
            <w:tc>
              <w:tcPr>
                <w:tcW w:w="11016" w:type="dxa"/>
                <w:shd w:val="clear" w:color="auto" w:fill="C6D9F1" w:themeFill="text2" w:themeFillTint="33"/>
                <w:vAlign w:val="center"/>
              </w:tcPr>
              <w:p w:rsidR="00E92965" w:rsidRPr="00E6434F" w:rsidRDefault="00E92965" w:rsidP="008D7E04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3.2 Quality of students’ Learning</w:t>
                </w:r>
              </w:p>
            </w:tc>
          </w:tr>
        </w:tbl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 xml:space="preserve">Consider students’: 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enjoyment of and enthusiasm for learning;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responsibility for and independence in their own learning;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questioning and explaining;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collaboration and sharing of ideas;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understanding their own learning and evaluation of their strengths and weaknesses;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ability to relate their learning to real life;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use of ICT to support their learning;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ability to memorise and recall when appropriate;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capacity to find things out for themselves;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understanding of how they learn;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skills of reflection and analysis;</w:t>
          </w:r>
        </w:p>
        <w:p w:rsidR="00E6434F" w:rsidRDefault="00E92965" w:rsidP="00E51C03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use of higher ord</w:t>
          </w:r>
          <w:r w:rsidR="00E51C03">
            <w:rPr>
              <w:rFonts w:ascii="Dax-Regular" w:hAnsi="Dax-Regular"/>
              <w:sz w:val="22"/>
              <w:szCs w:val="22"/>
            </w:rPr>
            <w:t>er skills and critical thinking.</w:t>
          </w:r>
        </w:p>
        <w:p w:rsidR="00204E08" w:rsidRPr="00204E08" w:rsidRDefault="00204E08" w:rsidP="00204E08">
          <w:p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Discussion Points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22"/>
            </w:trPr>
            <w:tc>
              <w:tcPr>
                <w:tcW w:w="11016" w:type="dxa"/>
                <w:shd w:val="clear" w:color="auto" w:fill="C6D9F1" w:themeFill="text2" w:themeFillTint="33"/>
                <w:vAlign w:val="center"/>
              </w:tcPr>
              <w:p w:rsidR="00E92965" w:rsidRPr="00E6434F" w:rsidRDefault="00E92965" w:rsidP="008D7E04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 xml:space="preserve">3.3 Assessment </w:t>
                </w:r>
              </w:p>
            </w:tc>
          </w:tr>
        </w:tbl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Consider: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prior learning and gains in learning; 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quality of teachers’ questioning;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how students demonstrate their understanding;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how assessment information informs teaching, learning and planning;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consistency of assessment and review throughout the school;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students’ understanding of their strengths and weaknesses and what they need to do to improve;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record keeping and accuracy of information; 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internal moderation [comparison] of judgments and their external validation;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use of this information to meet the needs of all students;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quality of oral and written feedback given by teachers to individual students;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students’ response to feedback;</w:t>
          </w:r>
        </w:p>
        <w:p w:rsidR="00E92965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teachers’ knowledge of students’ strengths and weaknesses.</w:t>
          </w:r>
        </w:p>
        <w:p w:rsidR="00812B4E" w:rsidRDefault="00812B4E"/>
        <w:p w:rsidR="00812B4E" w:rsidRDefault="00812B4E"/>
        <w:p w:rsidR="00E6434F" w:rsidRDefault="00E6434F">
          <w:r>
            <w:br w:type="page"/>
          </w:r>
        </w:p>
        <w:p w:rsidR="00812B4E" w:rsidRDefault="00812B4E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7768E8" w:rsidRPr="007768E8" w:rsidTr="00E6434F">
            <w:trPr>
              <w:trHeight w:val="432"/>
            </w:trPr>
            <w:tc>
              <w:tcPr>
                <w:tcW w:w="10685" w:type="dxa"/>
                <w:shd w:val="clear" w:color="auto" w:fill="548DD4" w:themeFill="text2" w:themeFillTint="99"/>
                <w:vAlign w:val="center"/>
              </w:tcPr>
              <w:p w:rsidR="00E92965" w:rsidRPr="007768E8" w:rsidRDefault="00E92965" w:rsidP="008D7E04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7768E8"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  <w:t>Self-Evaluation – Points to guide discussions related to each QI.</w:t>
                </w:r>
              </w:p>
            </w:tc>
          </w:tr>
          <w:tr w:rsidR="00E92965" w:rsidRPr="00E51C03" w:rsidTr="008D7E04">
            <w:trPr>
              <w:trHeight w:val="432"/>
            </w:trPr>
            <w:tc>
              <w:tcPr>
                <w:tcW w:w="10685" w:type="dxa"/>
                <w:vAlign w:val="center"/>
              </w:tcPr>
              <w:p w:rsidR="00E92965" w:rsidRPr="00E51C03" w:rsidRDefault="00E92965" w:rsidP="008D7E04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</w:pPr>
                <w:r w:rsidRPr="00E51C03"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>Quality Indicator 4 - How well does the curriculum meet the needs of all students?</w:t>
                </w:r>
              </w:p>
            </w:tc>
          </w:tr>
        </w:tbl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Discussion Points</w:t>
          </w:r>
        </w:p>
        <w:tbl>
          <w:tblPr>
            <w:tblStyle w:val="TableGrid"/>
            <w:tblW w:w="5000" w:type="pct"/>
            <w:shd w:val="clear" w:color="auto" w:fill="C6D9F1" w:themeFill="text2" w:themeFillTint="33"/>
            <w:tblLook w:val="04A0" w:firstRow="1" w:lastRow="0" w:firstColumn="1" w:lastColumn="0" w:noHBand="0" w:noVBand="1"/>
          </w:tblPr>
          <w:tblGrid>
            <w:gridCol w:w="10685"/>
          </w:tblGrid>
          <w:tr w:rsidR="00E6434F" w:rsidRPr="00E6434F" w:rsidTr="00E6434F">
            <w:trPr>
              <w:trHeight w:val="432"/>
            </w:trPr>
            <w:tc>
              <w:tcPr>
                <w:tcW w:w="11016" w:type="dxa"/>
                <w:shd w:val="clear" w:color="auto" w:fill="C6D9F1" w:themeFill="text2" w:themeFillTint="33"/>
                <w:vAlign w:val="center"/>
              </w:tcPr>
              <w:p w:rsidR="00E92965" w:rsidRPr="00E6434F" w:rsidRDefault="00E92965" w:rsidP="00BB3F30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4</w:t>
                </w:r>
                <w:r w:rsid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.</w:t>
                </w: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 xml:space="preserve">   Curriculum</w:t>
                </w:r>
              </w:p>
            </w:tc>
          </w:tr>
        </w:tbl>
        <w:p w:rsidR="00E92965" w:rsidRPr="00E51C03" w:rsidRDefault="00E92965" w:rsidP="004B15BB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Consider: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rationale and shared values of our curriculum;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breadth and balance [variety and quality of choice at all phases];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regularity of review to ensure all needs are met; 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statutory requirements such as Islamic Education and Arabic;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continuity, progression and transitions to next phase; 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levels of challenge for different groups [gender, SEN, EAL etc];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students’ developmental needs (physical, learning, social, emotional);</w:t>
          </w:r>
          <w:r w:rsidRPr="00E51C03">
            <w:rPr>
              <w:rFonts w:ascii="Dax-Regular" w:hAnsi="Dax-Regular"/>
              <w:sz w:val="22"/>
              <w:szCs w:val="22"/>
            </w:rPr>
            <w:tab/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enrichment such as cross-curricular, extra-curricular, community partnerships;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resources and how they support the curriculum;</w:t>
          </w:r>
        </w:p>
        <w:p w:rsidR="00E92965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space available to enable appropriate teaching and learning to meet all students’ learning needs.</w:t>
          </w:r>
        </w:p>
        <w:p w:rsidR="00E6434F" w:rsidRDefault="00E6434F">
          <w:r>
            <w:br w:type="page"/>
          </w:r>
        </w:p>
        <w:p w:rsidR="00812B4E" w:rsidRDefault="00812B4E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7768E8" w:rsidRPr="007768E8" w:rsidTr="00E6434F">
            <w:trPr>
              <w:trHeight w:val="432"/>
            </w:trPr>
            <w:tc>
              <w:tcPr>
                <w:tcW w:w="10685" w:type="dxa"/>
                <w:shd w:val="clear" w:color="auto" w:fill="548DD4" w:themeFill="text2" w:themeFillTint="99"/>
                <w:vAlign w:val="center"/>
              </w:tcPr>
              <w:p w:rsidR="00E92965" w:rsidRPr="007768E8" w:rsidRDefault="00E92965" w:rsidP="00220E08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7768E8"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  <w:t>Self-Evaluation – Points to guide discussions related to each QI.</w:t>
                </w:r>
              </w:p>
            </w:tc>
          </w:tr>
          <w:tr w:rsidR="00E92965" w:rsidRPr="00E51C03" w:rsidTr="004B15BB">
            <w:trPr>
              <w:trHeight w:val="432"/>
            </w:trPr>
            <w:tc>
              <w:tcPr>
                <w:tcW w:w="10685" w:type="dxa"/>
                <w:shd w:val="clear" w:color="auto" w:fill="auto"/>
                <w:vAlign w:val="center"/>
              </w:tcPr>
              <w:p w:rsidR="00E92965" w:rsidRPr="00E51C03" w:rsidRDefault="00E92965" w:rsidP="00220E08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</w:pPr>
                <w:r w:rsidRPr="00E51C03"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>Quality Indicator 5 - How well does the school protect and support students?</w:t>
                </w:r>
              </w:p>
            </w:tc>
          </w:tr>
        </w:tbl>
        <w:p w:rsidR="00E92965" w:rsidRPr="00E51C03" w:rsidRDefault="00E92965" w:rsidP="00220E08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Discussion Points</w:t>
          </w:r>
        </w:p>
        <w:tbl>
          <w:tblPr>
            <w:tblStyle w:val="TableGrid"/>
            <w:tblW w:w="5000" w:type="pct"/>
            <w:shd w:val="clear" w:color="auto" w:fill="C6D9F1" w:themeFill="text2" w:themeFillTint="33"/>
            <w:tblLook w:val="04A0" w:firstRow="1" w:lastRow="0" w:firstColumn="1" w:lastColumn="0" w:noHBand="0" w:noVBand="1"/>
          </w:tblPr>
          <w:tblGrid>
            <w:gridCol w:w="10685"/>
          </w:tblGrid>
          <w:tr w:rsidR="00E6434F" w:rsidRPr="00E6434F" w:rsidTr="00E6434F">
            <w:trPr>
              <w:trHeight w:val="440"/>
            </w:trPr>
            <w:tc>
              <w:tcPr>
                <w:tcW w:w="0" w:type="auto"/>
                <w:shd w:val="clear" w:color="auto" w:fill="C6D9F1" w:themeFill="text2" w:themeFillTint="33"/>
                <w:vAlign w:val="center"/>
              </w:tcPr>
              <w:p w:rsidR="00E92965" w:rsidRPr="00E6434F" w:rsidRDefault="00E92965" w:rsidP="00E92965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QI 5.1 Health and Safety</w:t>
                </w:r>
              </w:p>
            </w:tc>
          </w:tr>
        </w:tbl>
        <w:p w:rsidR="00E92965" w:rsidRPr="00E51C03" w:rsidRDefault="00E92965" w:rsidP="00220E08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 xml:space="preserve">Consider: 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students’ safety and security eg provision for the safety of students appropriate for the numbers of students present in every classroom;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understanding of the school community of how to keep them safe;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suitability of the premises and facilities for all students, including those with special educational needs;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policies and procedures to ensure safe and consistent practice such as fire drills, medication control and risk assessments for school trips;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record keeping arrangements and how these inform subsequent improvements;</w:t>
          </w:r>
        </w:p>
        <w:p w:rsidR="00E92965" w:rsidRPr="00E51C03" w:rsidRDefault="005016BE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>
            <w:rPr>
              <w:rFonts w:ascii="Dax-Regular" w:hAnsi="Dax-Regular"/>
              <w:sz w:val="22"/>
              <w:szCs w:val="22"/>
            </w:rPr>
            <w:t>promotion of and provision</w:t>
          </w:r>
          <w:r w:rsidR="00E92965" w:rsidRPr="00E51C03">
            <w:rPr>
              <w:rFonts w:ascii="Dax-Regular" w:hAnsi="Dax-Regular"/>
              <w:sz w:val="22"/>
              <w:szCs w:val="22"/>
            </w:rPr>
            <w:t xml:space="preserve"> for a healthy lifestyle;</w:t>
          </w:r>
        </w:p>
        <w:p w:rsidR="00E92965" w:rsidRPr="00E51C03" w:rsidRDefault="00E92965" w:rsidP="004B15BB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child protection arrangements and procedures; understanding and practice.</w:t>
          </w:r>
        </w:p>
        <w:tbl>
          <w:tblPr>
            <w:tblStyle w:val="TableGrid"/>
            <w:tblW w:w="5000" w:type="pct"/>
            <w:shd w:val="clear" w:color="auto" w:fill="808080" w:themeFill="background1" w:themeFillShade="80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32"/>
            </w:trPr>
            <w:tc>
              <w:tcPr>
                <w:tcW w:w="0" w:type="auto"/>
                <w:shd w:val="clear" w:color="auto" w:fill="C6D9F1" w:themeFill="text2" w:themeFillTint="33"/>
                <w:vAlign w:val="center"/>
              </w:tcPr>
              <w:p w:rsidR="00E92965" w:rsidRPr="00E6434F" w:rsidRDefault="00E92965" w:rsidP="00E92965">
                <w:pPr>
                  <w:pStyle w:val="ListParagraph"/>
                  <w:spacing w:after="0" w:line="240" w:lineRule="auto"/>
                  <w:ind w:left="0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5.2 Quality of support</w:t>
                </w:r>
              </w:p>
            </w:tc>
          </w:tr>
        </w:tbl>
        <w:p w:rsidR="00E92965" w:rsidRPr="00E51C03" w:rsidRDefault="00E92965" w:rsidP="00E92965">
          <w:pPr>
            <w:pStyle w:val="ListParagraph"/>
            <w:spacing w:before="120" w:line="360" w:lineRule="auto"/>
            <w:ind w:left="0"/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Consider: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levels of trust and respect between students and staff;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teachers’ knowledge and response to students’ social, physical, emotional and intellectual needs;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students’ access to a range of informed advice and support on personal and social matters;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quality of guidance including future education and career paths;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management of behaviour and how well this is consistently applied by everyone;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use of outside agencies to effectively and appropriately support students;</w:t>
          </w:r>
          <w:r w:rsidRPr="00E51C03">
            <w:rPr>
              <w:rFonts w:ascii="Dax-Regular" w:hAnsi="Dax-Regular"/>
              <w:sz w:val="22"/>
              <w:szCs w:val="22"/>
            </w:rPr>
            <w:tab/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mechanisms for identifying and supporting students, including those with special educational needs [SEN];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whether SEN students make unsatisfactory, acceptable, good or outstanding progress;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students’ and parents’ involvement in this process;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modification to the curriculum, resources and facilities to suit a diverse range of needs;</w:t>
          </w:r>
        </w:p>
        <w:p w:rsidR="00E92965" w:rsidRPr="005E42AF" w:rsidRDefault="00E92965" w:rsidP="00E92965">
          <w:pPr>
            <w:pStyle w:val="ListParagraph"/>
            <w:numPr>
              <w:ilvl w:val="0"/>
              <w:numId w:val="12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  <w:u w:val="single"/>
            </w:rPr>
          </w:pPr>
          <w:r w:rsidRPr="00E51C03">
            <w:rPr>
              <w:rFonts w:ascii="Dax-Regular" w:hAnsi="Dax-Regular"/>
              <w:sz w:val="22"/>
              <w:szCs w:val="22"/>
            </w:rPr>
            <w:t>strategies for promotion of attendance and punctuality and our responses to absence.</w:t>
          </w:r>
        </w:p>
        <w:p w:rsidR="00812B4E" w:rsidRDefault="00E6434F">
          <w:r>
            <w:br w:type="page"/>
          </w:r>
        </w:p>
        <w:p w:rsidR="00414FE9" w:rsidRDefault="00414FE9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32"/>
            </w:trPr>
            <w:tc>
              <w:tcPr>
                <w:tcW w:w="0" w:type="auto"/>
                <w:shd w:val="clear" w:color="auto" w:fill="548DD4" w:themeFill="text2" w:themeFillTint="99"/>
                <w:vAlign w:val="center"/>
              </w:tcPr>
              <w:p w:rsidR="00E92965" w:rsidRPr="007768E8" w:rsidRDefault="00E92965" w:rsidP="00E92965">
                <w:pPr>
                  <w:spacing w:after="0" w:line="240" w:lineRule="auto"/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7768E8"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  <w:t>Self-Evaluation – Points to guide discussions related to each QI.</w:t>
                </w:r>
              </w:p>
            </w:tc>
          </w:tr>
          <w:tr w:rsidR="00E92965" w:rsidRPr="00E51C03" w:rsidTr="00E92965">
            <w:trPr>
              <w:trHeight w:val="432"/>
            </w:trPr>
            <w:tc>
              <w:tcPr>
                <w:tcW w:w="0" w:type="auto"/>
                <w:shd w:val="clear" w:color="auto" w:fill="auto"/>
                <w:vAlign w:val="center"/>
              </w:tcPr>
              <w:p w:rsidR="00E92965" w:rsidRPr="00E51C03" w:rsidRDefault="00E92965" w:rsidP="00E92965">
                <w:pPr>
                  <w:spacing w:after="0" w:line="240" w:lineRule="auto"/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</w:pPr>
                <w:r w:rsidRPr="00E51C03"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>Quality Indicator 6 - How good are the leadership and management of the school?</w:t>
                </w:r>
              </w:p>
            </w:tc>
          </w:tr>
        </w:tbl>
        <w:p w:rsidR="00E92965" w:rsidRPr="00E51C03" w:rsidRDefault="00E92965" w:rsidP="00E92965">
          <w:pPr>
            <w:spacing w:before="120" w:line="240" w:lineRule="auto"/>
            <w:rPr>
              <w:rFonts w:ascii="Dax-Regular" w:hAnsi="Dax-Regular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/>
              <w:b/>
              <w:bCs/>
              <w:color w:val="C00000"/>
              <w:sz w:val="22"/>
              <w:szCs w:val="22"/>
            </w:rPr>
            <w:t>Discussion Points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40"/>
            </w:trPr>
            <w:tc>
              <w:tcPr>
                <w:tcW w:w="11016" w:type="dxa"/>
                <w:shd w:val="clear" w:color="auto" w:fill="C6D9F1" w:themeFill="text2" w:themeFillTint="33"/>
                <w:vAlign w:val="center"/>
              </w:tcPr>
              <w:p w:rsidR="00E92965" w:rsidRPr="00E6434F" w:rsidRDefault="00E92965" w:rsidP="00AC5A1B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 xml:space="preserve">6.1 </w:t>
                </w:r>
                <w:r w:rsidR="00AC5A1B" w:rsidRPr="00AC5A1B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 xml:space="preserve">The quality of leadership  </w:t>
                </w:r>
              </w:p>
            </w:tc>
          </w:tr>
        </w:tbl>
        <w:p w:rsidR="00E92965" w:rsidRPr="00E51C03" w:rsidRDefault="00E92965" w:rsidP="00E92965">
          <w:pPr>
            <w:spacing w:before="120" w:line="360" w:lineRule="auto"/>
            <w:rPr>
              <w:rFonts w:ascii="Dax-Regular" w:hAnsi="Dax-Regular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/>
              <w:b/>
              <w:bCs/>
              <w:color w:val="C00000"/>
              <w:sz w:val="22"/>
              <w:szCs w:val="22"/>
            </w:rPr>
            <w:t xml:space="preserve">Consider: </w:t>
          </w:r>
        </w:p>
        <w:p w:rsidR="00E92965" w:rsidRPr="00204E08" w:rsidRDefault="00E92965" w:rsidP="00204E08">
          <w:pPr>
            <w:pStyle w:val="ListParagraph"/>
            <w:numPr>
              <w:ilvl w:val="0"/>
              <w:numId w:val="25"/>
            </w:numPr>
            <w:spacing w:before="120" w:line="360" w:lineRule="auto"/>
            <w:ind w:left="1800"/>
            <w:jc w:val="left"/>
            <w:rPr>
              <w:rFonts w:ascii="Dax-Regular" w:hAnsi="Dax-Regular"/>
              <w:sz w:val="22"/>
              <w:szCs w:val="22"/>
            </w:rPr>
          </w:pPr>
          <w:r w:rsidRPr="00204E08">
            <w:rPr>
              <w:rFonts w:ascii="Dax-Regular" w:hAnsi="Dax-Regular"/>
              <w:sz w:val="22"/>
              <w:szCs w:val="22"/>
            </w:rPr>
            <w:t>how our aims and values promote our vision;</w:t>
          </w:r>
        </w:p>
        <w:p w:rsidR="00E92965" w:rsidRPr="00E51C03" w:rsidRDefault="00E92965" w:rsidP="005E42AF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understanding and commitment of the school community to high standards;</w:t>
          </w:r>
        </w:p>
        <w:p w:rsidR="00E92965" w:rsidRPr="00E51C03" w:rsidRDefault="00E92965" w:rsidP="005E42AF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competencies of all leaders to raise standards;</w:t>
          </w:r>
        </w:p>
        <w:p w:rsidR="00E92965" w:rsidRPr="00E51C03" w:rsidRDefault="00E92965" w:rsidP="005E42AF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training to support innovation and improvement;</w:t>
          </w:r>
        </w:p>
        <w:p w:rsidR="00E92965" w:rsidRPr="00E51C03" w:rsidRDefault="00E92965" w:rsidP="005E42AF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culture of consultation and communication;</w:t>
          </w:r>
        </w:p>
        <w:p w:rsidR="00E92965" w:rsidRPr="00E51C03" w:rsidRDefault="00E92965" w:rsidP="005E42AF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procedures and routines for managing the school;</w:t>
          </w:r>
        </w:p>
        <w:p w:rsidR="00E92965" w:rsidRPr="00E51C03" w:rsidRDefault="00E92965" w:rsidP="005E42AF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quality of the working relationships throughout the school community.</w:t>
          </w:r>
        </w:p>
        <w:tbl>
          <w:tblPr>
            <w:tblStyle w:val="TableGrid"/>
            <w:tblW w:w="5000" w:type="pct"/>
            <w:shd w:val="clear" w:color="auto" w:fill="C6D9F1" w:themeFill="text2" w:themeFillTint="33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32"/>
            </w:trPr>
            <w:tc>
              <w:tcPr>
                <w:tcW w:w="0" w:type="auto"/>
                <w:shd w:val="clear" w:color="auto" w:fill="C6D9F1" w:themeFill="text2" w:themeFillTint="33"/>
                <w:vAlign w:val="center"/>
              </w:tcPr>
              <w:p w:rsidR="00E92965" w:rsidRPr="00E6434F" w:rsidRDefault="00E92965" w:rsidP="00E92965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 xml:space="preserve">6.2 Self-evaluation and improvement planning </w:t>
                </w:r>
              </w:p>
            </w:tc>
          </w:tr>
        </w:tbl>
        <w:p w:rsidR="00E92965" w:rsidRPr="00E51C03" w:rsidRDefault="00E92965" w:rsidP="00E92965">
          <w:pPr>
            <w:spacing w:before="120" w:line="360" w:lineRule="auto"/>
            <w:rPr>
              <w:rFonts w:ascii="Dax-Regular" w:hAnsi="Dax-Regular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/>
              <w:b/>
              <w:bCs/>
              <w:color w:val="C00000"/>
              <w:sz w:val="22"/>
              <w:szCs w:val="22"/>
            </w:rPr>
            <w:t>Consider: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accuracy of key priorities for improvement;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success criteria in relation to impact on students’ outcomes;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quality of our self-evaluation process;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the rigour and accuracy of the judgments;  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planning for improvement based on an accurate identification of our performance;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links between attainment and progress and improvements;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regular review of all of our actions and outcomes and next steps;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the effectiveness and accuracy of our performance management system and how </w:t>
          </w:r>
          <w:r w:rsidR="005016BE">
            <w:rPr>
              <w:rFonts w:ascii="Dax-Regular" w:hAnsi="Dax-Regular"/>
              <w:sz w:val="22"/>
              <w:szCs w:val="22"/>
            </w:rPr>
            <w:t xml:space="preserve">well </w:t>
          </w:r>
          <w:r w:rsidRPr="00E51C03">
            <w:rPr>
              <w:rFonts w:ascii="Dax-Regular" w:hAnsi="Dax-Regular"/>
              <w:sz w:val="22"/>
              <w:szCs w:val="22"/>
            </w:rPr>
            <w:t>it is understood by all;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type and quality of support for teachers not meeting our standards;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our actions in response to all of the recommendations from the previous DSIB report;</w:t>
          </w:r>
        </w:p>
        <w:p w:rsidR="007768E8" w:rsidRDefault="00E92965" w:rsidP="00E92965">
          <w:pPr>
            <w:pStyle w:val="ListParagraph"/>
            <w:numPr>
              <w:ilvl w:val="0"/>
              <w:numId w:val="16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resources needed to implement the action plan.</w:t>
          </w:r>
        </w:p>
        <w:p w:rsidR="007768E8" w:rsidRDefault="007768E8">
          <w:pPr>
            <w:spacing w:after="0" w:line="24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p w:rsidR="007768E8" w:rsidRDefault="007768E8">
          <w:pPr>
            <w:spacing w:after="0" w:line="24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p w:rsidR="007768E8" w:rsidRDefault="007768E8">
          <w:pPr>
            <w:spacing w:after="0" w:line="24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p w:rsidR="007768E8" w:rsidRDefault="007768E8">
          <w:pPr>
            <w:spacing w:after="0" w:line="24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p w:rsidR="007768E8" w:rsidRDefault="007768E8">
          <w:pPr>
            <w:spacing w:after="0" w:line="24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p w:rsidR="007768E8" w:rsidRDefault="007768E8">
          <w:pPr>
            <w:spacing w:after="0" w:line="24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p w:rsidR="007768E8" w:rsidRDefault="007768E8">
          <w:pPr>
            <w:spacing w:after="0" w:line="24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p w:rsidR="007768E8" w:rsidRDefault="007768E8">
          <w:pPr>
            <w:spacing w:after="0" w:line="240" w:lineRule="auto"/>
            <w:jc w:val="left"/>
            <w:rPr>
              <w:rFonts w:ascii="Dax-Regular" w:hAnsi="Dax-Regular"/>
              <w:sz w:val="22"/>
              <w:szCs w:val="22"/>
            </w:rPr>
          </w:pPr>
        </w:p>
        <w:tbl>
          <w:tblPr>
            <w:tblStyle w:val="TableGrid"/>
            <w:tblW w:w="5000" w:type="pct"/>
            <w:shd w:val="clear" w:color="auto" w:fill="808080" w:themeFill="background1" w:themeFillShade="80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40"/>
            </w:trPr>
            <w:tc>
              <w:tcPr>
                <w:tcW w:w="0" w:type="auto"/>
                <w:shd w:val="clear" w:color="auto" w:fill="C6D9F1" w:themeFill="text2" w:themeFillTint="33"/>
                <w:vAlign w:val="center"/>
              </w:tcPr>
              <w:p w:rsidR="00E92965" w:rsidRPr="00E6434F" w:rsidRDefault="007768E8" w:rsidP="00E92965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Dax-Regular" w:hAnsi="Dax-Regular"/>
                    <w:sz w:val="22"/>
                    <w:szCs w:val="22"/>
                  </w:rPr>
                  <w:br w:type="page"/>
                </w:r>
                <w:r w:rsidR="00E92965"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6.3 Partnerships with Parents and the Local Community</w:t>
                </w:r>
              </w:p>
            </w:tc>
          </w:tr>
        </w:tbl>
        <w:p w:rsidR="00E92965" w:rsidRPr="00E51C03" w:rsidRDefault="00E92965" w:rsidP="00E92965">
          <w:pPr>
            <w:spacing w:before="120" w:line="360" w:lineRule="auto"/>
            <w:rPr>
              <w:rFonts w:ascii="Dax-Regular" w:hAnsi="Dax-Regular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/>
              <w:b/>
              <w:bCs/>
              <w:color w:val="C00000"/>
              <w:sz w:val="22"/>
              <w:szCs w:val="22"/>
            </w:rPr>
            <w:t>Consider: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line="360" w:lineRule="auto"/>
            <w:jc w:val="left"/>
            <w:rPr>
              <w:rFonts w:ascii="Dax-Regular" w:hAnsi="Dax-Regular"/>
              <w:color w:val="000000"/>
              <w:sz w:val="22"/>
              <w:szCs w:val="22"/>
            </w:rPr>
          </w:pPr>
          <w:r w:rsidRPr="00E51C03">
            <w:rPr>
              <w:rFonts w:ascii="Dax-Regular" w:hAnsi="Dax-Regular"/>
              <w:color w:val="000000"/>
              <w:sz w:val="22"/>
              <w:szCs w:val="22"/>
            </w:rPr>
            <w:t xml:space="preserve">the involvement of parents in the work of the school; 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line="360" w:lineRule="auto"/>
            <w:jc w:val="left"/>
            <w:rPr>
              <w:rFonts w:ascii="Dax-Regular" w:hAnsi="Dax-Regular"/>
              <w:color w:val="000000"/>
              <w:sz w:val="22"/>
              <w:szCs w:val="22"/>
            </w:rPr>
          </w:pPr>
          <w:r w:rsidRPr="00E51C03">
            <w:rPr>
              <w:rFonts w:ascii="Dax-Regular" w:hAnsi="Dax-Regular"/>
              <w:color w:val="000000"/>
              <w:sz w:val="22"/>
              <w:szCs w:val="22"/>
            </w:rPr>
            <w:t>parental understanding of the impact of their involvement on learning;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line="360" w:lineRule="auto"/>
            <w:jc w:val="left"/>
            <w:rPr>
              <w:rFonts w:ascii="Dax-Regular" w:hAnsi="Dax-Regular"/>
              <w:color w:val="000000"/>
              <w:sz w:val="22"/>
              <w:szCs w:val="22"/>
            </w:rPr>
          </w:pPr>
          <w:r w:rsidRPr="00E51C03">
            <w:rPr>
              <w:rFonts w:ascii="Dax-Regular" w:hAnsi="Dax-Regular"/>
              <w:color w:val="000000"/>
              <w:sz w:val="22"/>
              <w:szCs w:val="22"/>
            </w:rPr>
            <w:t>the parental voice in the school;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line="360" w:lineRule="auto"/>
            <w:jc w:val="left"/>
            <w:rPr>
              <w:rFonts w:ascii="Dax-Regular" w:hAnsi="Dax-Regular"/>
              <w:color w:val="000000"/>
              <w:sz w:val="22"/>
              <w:szCs w:val="22"/>
            </w:rPr>
          </w:pPr>
          <w:r w:rsidRPr="00E51C03">
            <w:rPr>
              <w:rFonts w:ascii="Dax-Regular" w:hAnsi="Dax-Regular"/>
              <w:color w:val="000000"/>
              <w:sz w:val="22"/>
              <w:szCs w:val="22"/>
            </w:rPr>
            <w:t xml:space="preserve">the reporting of the key priorities and all other aspects of school improvement; 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line="360" w:lineRule="auto"/>
            <w:jc w:val="left"/>
            <w:rPr>
              <w:rFonts w:ascii="Dax-Regular" w:hAnsi="Dax-Regular"/>
              <w:color w:val="000000"/>
              <w:sz w:val="22"/>
              <w:szCs w:val="22"/>
            </w:rPr>
          </w:pPr>
          <w:r w:rsidRPr="00E51C03">
            <w:rPr>
              <w:rFonts w:ascii="Dax-Regular" w:hAnsi="Dax-Regular"/>
              <w:color w:val="000000"/>
              <w:sz w:val="22"/>
              <w:szCs w:val="22"/>
            </w:rPr>
            <w:t xml:space="preserve">whether reports are comprehensive and informative and meet parents’ needs; 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line="360" w:lineRule="auto"/>
            <w:jc w:val="left"/>
            <w:rPr>
              <w:rFonts w:ascii="Dax-Regular" w:hAnsi="Dax-Regular"/>
              <w:color w:val="000000"/>
              <w:sz w:val="22"/>
              <w:szCs w:val="22"/>
            </w:rPr>
          </w:pPr>
          <w:r w:rsidRPr="00E51C03">
            <w:rPr>
              <w:rFonts w:ascii="Dax-Regular" w:hAnsi="Dax-Regular"/>
              <w:color w:val="000000"/>
              <w:sz w:val="22"/>
              <w:szCs w:val="22"/>
            </w:rPr>
            <w:t>the involvement of the local and wider community as partners in the learning experience of the students.</w:t>
          </w:r>
        </w:p>
        <w:tbl>
          <w:tblPr>
            <w:tblStyle w:val="TableGrid"/>
            <w:tblW w:w="5000" w:type="pct"/>
            <w:shd w:val="clear" w:color="auto" w:fill="C6D9F1" w:themeFill="text2" w:themeFillTint="33"/>
            <w:tblLook w:val="04A0" w:firstRow="1" w:lastRow="0" w:firstColumn="1" w:lastColumn="0" w:noHBand="0" w:noVBand="1"/>
          </w:tblPr>
          <w:tblGrid>
            <w:gridCol w:w="10685"/>
          </w:tblGrid>
          <w:tr w:rsidR="00E6434F" w:rsidRPr="00E6434F" w:rsidTr="00E6434F">
            <w:trPr>
              <w:trHeight w:val="432"/>
            </w:trPr>
            <w:tc>
              <w:tcPr>
                <w:tcW w:w="0" w:type="auto"/>
                <w:shd w:val="clear" w:color="auto" w:fill="C6D9F1" w:themeFill="text2" w:themeFillTint="33"/>
                <w:vAlign w:val="center"/>
              </w:tcPr>
              <w:p w:rsidR="00E92965" w:rsidRPr="00E6434F" w:rsidRDefault="00E92965" w:rsidP="00E92965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6.4</w:t>
                </w:r>
                <w:r w:rsidR="00204E08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Governance/Advisory Board</w:t>
                </w:r>
              </w:p>
            </w:tc>
          </w:tr>
        </w:tbl>
        <w:p w:rsidR="00E92965" w:rsidRPr="00E51C03" w:rsidRDefault="00E92965" w:rsidP="00E92965">
          <w:pPr>
            <w:spacing w:before="120" w:line="360" w:lineRule="auto"/>
            <w:rPr>
              <w:rFonts w:ascii="Dax-Regular" w:hAnsi="Dax-Regular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/>
              <w:b/>
              <w:bCs/>
              <w:color w:val="C00000"/>
              <w:sz w:val="22"/>
              <w:szCs w:val="22"/>
            </w:rPr>
            <w:t>Consider: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8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the advice and guidance given to the school by the advisory board; how </w:t>
          </w:r>
          <w:r w:rsidR="00B557B1">
            <w:rPr>
              <w:rFonts w:ascii="Dax-Regular" w:hAnsi="Dax-Regular"/>
              <w:sz w:val="22"/>
              <w:szCs w:val="22"/>
            </w:rPr>
            <w:t>objective and independent is it;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8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the strongest features of the advisory board/governors and areas most in need of development; 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8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roles of governors and owners in initiating school impro</w:t>
          </w:r>
          <w:r w:rsidR="005016BE">
            <w:rPr>
              <w:rFonts w:ascii="Dax-Regular" w:hAnsi="Dax-Regular"/>
              <w:sz w:val="22"/>
              <w:szCs w:val="22"/>
            </w:rPr>
            <w:t xml:space="preserve">vement </w:t>
          </w:r>
          <w:r w:rsidRPr="00E51C03">
            <w:rPr>
              <w:rFonts w:ascii="Dax-Regular" w:hAnsi="Dax-Regular"/>
              <w:sz w:val="22"/>
              <w:szCs w:val="22"/>
            </w:rPr>
            <w:t>which lead to improved outcomes;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8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how the governors hold the school  and the leaders to account;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8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representation of the membership of the advisory board and how it reflects the school community and its context;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8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how effectively the governing body communicates its work to the school community;</w:t>
          </w:r>
        </w:p>
        <w:p w:rsidR="00E92965" w:rsidRPr="00E51C03" w:rsidRDefault="005016BE" w:rsidP="00E92965">
          <w:pPr>
            <w:pStyle w:val="ListParagraph"/>
            <w:numPr>
              <w:ilvl w:val="0"/>
              <w:numId w:val="18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>
            <w:rPr>
              <w:rFonts w:ascii="Dax-Regular" w:hAnsi="Dax-Regular"/>
              <w:sz w:val="22"/>
              <w:szCs w:val="22"/>
            </w:rPr>
            <w:t>the fulfi</w:t>
          </w:r>
          <w:r w:rsidR="00E92965" w:rsidRPr="00E51C03">
            <w:rPr>
              <w:rFonts w:ascii="Dax-Regular" w:hAnsi="Dax-Regular"/>
              <w:sz w:val="22"/>
              <w:szCs w:val="22"/>
            </w:rPr>
            <w:t>lment of all statutory requirements</w:t>
          </w:r>
          <w:r>
            <w:rPr>
              <w:rFonts w:ascii="Dax-Regular" w:hAnsi="Dax-Regular"/>
              <w:sz w:val="22"/>
              <w:szCs w:val="22"/>
            </w:rPr>
            <w:t>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8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the promise </w:t>
          </w:r>
          <w:r w:rsidR="005016BE">
            <w:rPr>
              <w:rFonts w:ascii="Dax-Regular" w:hAnsi="Dax-Regular"/>
              <w:sz w:val="22"/>
              <w:szCs w:val="22"/>
            </w:rPr>
            <w:t xml:space="preserve">we make </w:t>
          </w:r>
          <w:r w:rsidRPr="00E51C03">
            <w:rPr>
              <w:rFonts w:ascii="Dax-Regular" w:hAnsi="Dax-Regular"/>
              <w:sz w:val="22"/>
              <w:szCs w:val="22"/>
            </w:rPr>
            <w:t>to parents.</w:t>
          </w:r>
        </w:p>
        <w:tbl>
          <w:tblPr>
            <w:tblStyle w:val="TableGrid"/>
            <w:tblW w:w="5000" w:type="pct"/>
            <w:shd w:val="clear" w:color="auto" w:fill="808080" w:themeFill="background1" w:themeFillShade="80"/>
            <w:tblLook w:val="04A0" w:firstRow="1" w:lastRow="0" w:firstColumn="1" w:lastColumn="0" w:noHBand="0" w:noVBand="1"/>
          </w:tblPr>
          <w:tblGrid>
            <w:gridCol w:w="10685"/>
          </w:tblGrid>
          <w:tr w:rsidR="00E92965" w:rsidRPr="00E51C03" w:rsidTr="00E6434F">
            <w:trPr>
              <w:trHeight w:val="432"/>
            </w:trPr>
            <w:tc>
              <w:tcPr>
                <w:tcW w:w="11016" w:type="dxa"/>
                <w:shd w:val="clear" w:color="auto" w:fill="C6D9F1" w:themeFill="text2" w:themeFillTint="33"/>
                <w:vAlign w:val="center"/>
              </w:tcPr>
              <w:p w:rsidR="00E92965" w:rsidRPr="00E6434F" w:rsidRDefault="00E92965" w:rsidP="00E92965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 xml:space="preserve">6.5 </w:t>
                </w:r>
                <w:r w:rsidR="00AC5A1B" w:rsidRPr="00AC5A1B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Management, including staffing, facilities and resources</w:t>
                </w:r>
              </w:p>
            </w:tc>
          </w:tr>
        </w:tbl>
        <w:p w:rsidR="00E92965" w:rsidRPr="00E51C03" w:rsidRDefault="00E92965" w:rsidP="00E92965">
          <w:pPr>
            <w:spacing w:before="120" w:line="360" w:lineRule="auto"/>
            <w:rPr>
              <w:rFonts w:ascii="Dax-Regular" w:hAnsi="Dax-Regular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/>
              <w:b/>
              <w:bCs/>
              <w:color w:val="C00000"/>
              <w:sz w:val="22"/>
              <w:szCs w:val="22"/>
            </w:rPr>
            <w:t>Consider: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9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sufficiency and appropriateness of staff and resources;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9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staff training and deployment to address key priorities for improvement;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9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how well the day-to-day life of the school </w:t>
          </w:r>
          <w:r w:rsidR="005016BE">
            <w:rPr>
              <w:rFonts w:ascii="Dax-Regular" w:hAnsi="Dax-Regular"/>
              <w:sz w:val="22"/>
              <w:szCs w:val="22"/>
            </w:rPr>
            <w:t xml:space="preserve">is </w:t>
          </w:r>
          <w:r w:rsidRPr="00E51C03">
            <w:rPr>
              <w:rFonts w:ascii="Dax-Regular" w:hAnsi="Dax-Regular"/>
              <w:sz w:val="22"/>
              <w:szCs w:val="22"/>
            </w:rPr>
            <w:t>managed;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9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how well the premises support effective learning;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19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if leadership ensures that all learning environments support learning and are safe for all students and teachers;</w:t>
          </w:r>
        </w:p>
        <w:p w:rsidR="00E92965" w:rsidRDefault="005016BE" w:rsidP="00E92965">
          <w:pPr>
            <w:pStyle w:val="ListParagraph"/>
            <w:numPr>
              <w:ilvl w:val="0"/>
              <w:numId w:val="19"/>
            </w:numPr>
            <w:spacing w:before="120" w:line="360" w:lineRule="auto"/>
            <w:jc w:val="left"/>
            <w:rPr>
              <w:rFonts w:ascii="Dax-Regular" w:hAnsi="Dax-Regular"/>
              <w:sz w:val="22"/>
              <w:szCs w:val="22"/>
            </w:rPr>
          </w:pPr>
          <w:r>
            <w:rPr>
              <w:rFonts w:ascii="Dax-Regular" w:hAnsi="Dax-Regular"/>
              <w:sz w:val="22"/>
              <w:szCs w:val="22"/>
            </w:rPr>
            <w:t xml:space="preserve">the </w:t>
          </w:r>
          <w:r w:rsidR="00E92965" w:rsidRPr="00E51C03">
            <w:rPr>
              <w:rFonts w:ascii="Dax-Regular" w:hAnsi="Dax-Regular"/>
              <w:sz w:val="22"/>
              <w:szCs w:val="22"/>
            </w:rPr>
            <w:t>quality and range of resources available and their use to support teaching and learning.</w:t>
          </w:r>
        </w:p>
        <w:p w:rsidR="00812B4E" w:rsidRDefault="00812B4E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685"/>
          </w:tblGrid>
          <w:tr w:rsidR="00CE1728" w:rsidRPr="00E51C03" w:rsidTr="00E6434F">
            <w:trPr>
              <w:trHeight w:val="432"/>
            </w:trPr>
            <w:tc>
              <w:tcPr>
                <w:tcW w:w="0" w:type="auto"/>
                <w:shd w:val="clear" w:color="auto" w:fill="548DD4" w:themeFill="text2" w:themeFillTint="99"/>
                <w:vAlign w:val="center"/>
              </w:tcPr>
              <w:p w:rsidR="00CE1728" w:rsidRPr="007768E8" w:rsidRDefault="00CE1728" w:rsidP="00E6434F">
                <w:pPr>
                  <w:spacing w:after="0" w:line="240" w:lineRule="auto"/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7768E8">
                  <w:rPr>
                    <w:rFonts w:ascii="Dax-Regular" w:hAnsi="Dax-Regular"/>
                    <w:b/>
                    <w:bCs/>
                    <w:color w:val="FFFFFF" w:themeColor="background1"/>
                    <w:sz w:val="32"/>
                    <w:szCs w:val="32"/>
                  </w:rPr>
                  <w:t>Self-Evaluation – Points to guide discussions related to each QI.</w:t>
                </w:r>
              </w:p>
            </w:tc>
          </w:tr>
          <w:tr w:rsidR="00CE1728" w:rsidRPr="00E51C03" w:rsidTr="00E6434F">
            <w:trPr>
              <w:trHeight w:val="432"/>
            </w:trPr>
            <w:tc>
              <w:tcPr>
                <w:tcW w:w="0" w:type="auto"/>
                <w:shd w:val="clear" w:color="auto" w:fill="auto"/>
                <w:vAlign w:val="center"/>
              </w:tcPr>
              <w:p w:rsidR="00CE1728" w:rsidRPr="00E51C03" w:rsidRDefault="00CE1728" w:rsidP="00CE1728">
                <w:pPr>
                  <w:spacing w:after="0" w:line="240" w:lineRule="auto"/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</w:pPr>
                <w:r w:rsidRPr="00E51C03"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 xml:space="preserve">Quality Indicator </w:t>
                </w:r>
                <w:r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>7</w:t>
                </w:r>
                <w:r w:rsidRPr="00E51C03">
                  <w:rPr>
                    <w:rFonts w:ascii="Dax-Regular" w:hAnsi="Dax-Regular"/>
                    <w:b/>
                    <w:bCs/>
                    <w:color w:val="C00000"/>
                    <w:sz w:val="22"/>
                    <w:szCs w:val="22"/>
                  </w:rPr>
                  <w:t xml:space="preserve"> - How good are the leadership and management of the school?</w:t>
                </w:r>
              </w:p>
            </w:tc>
          </w:tr>
        </w:tbl>
        <w:p w:rsidR="00E92965" w:rsidRDefault="00E92965" w:rsidP="00E92965">
          <w:pPr>
            <w:spacing w:before="120" w:line="240" w:lineRule="auto"/>
            <w:rPr>
              <w:rFonts w:ascii="Dax-Regular" w:hAnsi="Dax-Regular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/>
              <w:b/>
              <w:bCs/>
              <w:color w:val="C00000"/>
              <w:sz w:val="22"/>
              <w:szCs w:val="22"/>
            </w:rPr>
            <w:t>Discussion Points</w:t>
          </w:r>
        </w:p>
        <w:p w:rsidR="00CE1728" w:rsidRDefault="00CE1728" w:rsidP="00E92965">
          <w:pPr>
            <w:spacing w:before="120" w:line="240" w:lineRule="auto"/>
            <w:rPr>
              <w:rFonts w:ascii="Dax-Regular" w:hAnsi="Dax-Regular"/>
              <w:b/>
              <w:bCs/>
              <w:color w:val="C00000"/>
              <w:sz w:val="22"/>
              <w:szCs w:val="22"/>
            </w:rPr>
          </w:pPr>
        </w:p>
        <w:tbl>
          <w:tblPr>
            <w:tblStyle w:val="TableGrid"/>
            <w:tblW w:w="0" w:type="auto"/>
            <w:shd w:val="clear" w:color="auto" w:fill="C6D9F1" w:themeFill="text2" w:themeFillTint="33"/>
            <w:tblLook w:val="04A0" w:firstRow="1" w:lastRow="0" w:firstColumn="1" w:lastColumn="0" w:noHBand="0" w:noVBand="1"/>
          </w:tblPr>
          <w:tblGrid>
            <w:gridCol w:w="10685"/>
          </w:tblGrid>
          <w:tr w:rsidR="00E6434F" w:rsidRPr="00E6434F" w:rsidTr="00E6434F">
            <w:trPr>
              <w:trHeight w:val="440"/>
            </w:trPr>
            <w:tc>
              <w:tcPr>
                <w:tcW w:w="11016" w:type="dxa"/>
                <w:shd w:val="clear" w:color="auto" w:fill="C6D9F1" w:themeFill="text2" w:themeFillTint="33"/>
                <w:vAlign w:val="center"/>
              </w:tcPr>
              <w:p w:rsidR="00CE1728" w:rsidRPr="00E6434F" w:rsidRDefault="00CE1728" w:rsidP="00E6434F">
                <w:pPr>
                  <w:spacing w:after="0" w:line="240" w:lineRule="auto"/>
                  <w:jc w:val="left"/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E6434F">
                  <w:rPr>
                    <w:rFonts w:ascii="Dax-Regular" w:hAnsi="Dax-Regular"/>
                    <w:b/>
                    <w:bCs/>
                    <w:color w:val="000000" w:themeColor="text1"/>
                    <w:sz w:val="22"/>
                    <w:szCs w:val="22"/>
                  </w:rPr>
                  <w:t>7. Overall Performance</w:t>
                </w:r>
              </w:p>
            </w:tc>
          </w:tr>
        </w:tbl>
        <w:p w:rsidR="00E92965" w:rsidRPr="00E51C03" w:rsidRDefault="00E92965" w:rsidP="00E92965">
          <w:pPr>
            <w:spacing w:before="120" w:line="240" w:lineRule="auto"/>
            <w:rPr>
              <w:rFonts w:ascii="Dax-Regular" w:hAnsi="Dax-Regular"/>
              <w:b/>
              <w:bCs/>
              <w:color w:val="C00000"/>
              <w:sz w:val="22"/>
              <w:szCs w:val="22"/>
            </w:rPr>
          </w:pPr>
          <w:r w:rsidRPr="00E51C03">
            <w:rPr>
              <w:rFonts w:ascii="Dax-Regular" w:hAnsi="Dax-Regular"/>
              <w:b/>
              <w:bCs/>
              <w:color w:val="C00000"/>
              <w:sz w:val="22"/>
              <w:szCs w:val="22"/>
            </w:rPr>
            <w:t>Consider:</w:t>
          </w:r>
        </w:p>
        <w:p w:rsidR="00E92965" w:rsidRPr="00E51C03" w:rsidRDefault="00E92965" w:rsidP="00E92965">
          <w:pPr>
            <w:pStyle w:val="ListParagraph"/>
            <w:numPr>
              <w:ilvl w:val="0"/>
              <w:numId w:val="20"/>
            </w:numPr>
            <w:spacing w:before="120" w:line="24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 xml:space="preserve">the accuracy and analysis of all reliable evidence; </w:t>
          </w:r>
        </w:p>
        <w:p w:rsidR="00E92965" w:rsidRPr="00E51C03" w:rsidRDefault="00E92965" w:rsidP="00E92965">
          <w:pPr>
            <w:pStyle w:val="ListParagraph"/>
            <w:spacing w:before="120" w:line="240" w:lineRule="auto"/>
            <w:rPr>
              <w:rFonts w:ascii="Dax-Regular" w:hAnsi="Dax-Regular"/>
              <w:sz w:val="22"/>
              <w:szCs w:val="22"/>
            </w:rPr>
          </w:pPr>
        </w:p>
        <w:p w:rsidR="00E92965" w:rsidRPr="00E51C03" w:rsidRDefault="00E92965" w:rsidP="00E92965">
          <w:pPr>
            <w:pStyle w:val="ListParagraph"/>
            <w:numPr>
              <w:ilvl w:val="0"/>
              <w:numId w:val="20"/>
            </w:numPr>
            <w:spacing w:before="120" w:line="24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links between all of our judgments and the de</w:t>
          </w:r>
          <w:r w:rsidR="005016BE">
            <w:rPr>
              <w:rFonts w:ascii="Dax-Regular" w:hAnsi="Dax-Regular"/>
              <w:sz w:val="22"/>
              <w:szCs w:val="22"/>
            </w:rPr>
            <w:t>scriptions</w:t>
          </w:r>
          <w:r w:rsidR="00114D70">
            <w:rPr>
              <w:rFonts w:ascii="Dax-Regular" w:hAnsi="Dax-Regular"/>
              <w:sz w:val="22"/>
              <w:szCs w:val="22"/>
            </w:rPr>
            <w:t xml:space="preserve"> in the DSIB H</w:t>
          </w:r>
          <w:r w:rsidR="005016BE">
            <w:rPr>
              <w:rFonts w:ascii="Dax-Regular" w:hAnsi="Dax-Regular"/>
              <w:sz w:val="22"/>
              <w:szCs w:val="22"/>
            </w:rPr>
            <w:t>andbook</w:t>
          </w:r>
          <w:r w:rsidR="00114D70">
            <w:rPr>
              <w:rFonts w:ascii="Dax-Regular" w:hAnsi="Dax-Regular"/>
              <w:sz w:val="22"/>
              <w:szCs w:val="22"/>
            </w:rPr>
            <w:t xml:space="preserve"> 2011-12</w:t>
          </w:r>
          <w:r w:rsidR="005016BE">
            <w:rPr>
              <w:rFonts w:ascii="Dax-Regular" w:hAnsi="Dax-Regular"/>
              <w:sz w:val="22"/>
              <w:szCs w:val="22"/>
            </w:rPr>
            <w:t>;</w:t>
          </w:r>
        </w:p>
        <w:p w:rsidR="00E92965" w:rsidRPr="00E51C03" w:rsidRDefault="00E92965" w:rsidP="00E92965">
          <w:pPr>
            <w:pStyle w:val="ListParagraph"/>
            <w:spacing w:before="120" w:line="240" w:lineRule="auto"/>
            <w:rPr>
              <w:rFonts w:ascii="Dax-Regular" w:hAnsi="Dax-Regular"/>
              <w:sz w:val="22"/>
              <w:szCs w:val="22"/>
            </w:rPr>
          </w:pPr>
        </w:p>
        <w:p w:rsidR="00E92965" w:rsidRDefault="00E92965" w:rsidP="00E92965">
          <w:pPr>
            <w:pStyle w:val="ListParagraph"/>
            <w:numPr>
              <w:ilvl w:val="0"/>
              <w:numId w:val="20"/>
            </w:numPr>
            <w:spacing w:before="120" w:line="240" w:lineRule="auto"/>
            <w:jc w:val="left"/>
            <w:rPr>
              <w:rFonts w:ascii="Dax-Regular" w:hAnsi="Dax-Regular"/>
              <w:sz w:val="22"/>
              <w:szCs w:val="22"/>
            </w:rPr>
          </w:pPr>
          <w:r w:rsidRPr="00E51C03">
            <w:rPr>
              <w:rFonts w:ascii="Dax-Regular" w:hAnsi="Dax-Regular"/>
              <w:sz w:val="22"/>
              <w:szCs w:val="22"/>
            </w:rPr>
            <w:t>the judgement for each QI and ensure that these link together and align with DSIB descript</w:t>
          </w:r>
          <w:r w:rsidR="00114D70">
            <w:rPr>
              <w:rFonts w:ascii="Dax-Regular" w:hAnsi="Dax-Regular"/>
              <w:sz w:val="22"/>
              <w:szCs w:val="22"/>
            </w:rPr>
            <w:t>ion</w:t>
          </w:r>
          <w:r w:rsidRPr="00E51C03">
            <w:rPr>
              <w:rFonts w:ascii="Dax-Regular" w:hAnsi="Dax-Regular"/>
              <w:sz w:val="22"/>
              <w:szCs w:val="22"/>
            </w:rPr>
            <w:t xml:space="preserve">s for </w:t>
          </w:r>
          <w:r w:rsidRPr="00E51C03">
            <w:rPr>
              <w:rFonts w:ascii="Dax-Regular" w:hAnsi="Dax-Regular" w:cs="Arial"/>
              <w:b/>
              <w:bCs/>
              <w:color w:val="C00000"/>
              <w:sz w:val="22"/>
              <w:szCs w:val="22"/>
            </w:rPr>
            <w:t>Overall Effectiveness</w:t>
          </w:r>
          <w:r w:rsidRPr="00E51C03">
            <w:rPr>
              <w:rFonts w:ascii="Dax-Regular" w:hAnsi="Dax-Regular"/>
              <w:sz w:val="22"/>
              <w:szCs w:val="22"/>
            </w:rPr>
            <w:t xml:space="preserve"> (QI 7) of the DSIB Handbook 2011-12.</w:t>
          </w:r>
        </w:p>
        <w:p w:rsidR="00CE1728" w:rsidRPr="00CE1728" w:rsidRDefault="00CE1728" w:rsidP="00CE1728">
          <w:pPr>
            <w:pStyle w:val="ListParagraph"/>
            <w:rPr>
              <w:rFonts w:ascii="Dax-Regular" w:hAnsi="Dax-Regular"/>
              <w:sz w:val="22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85"/>
          </w:tblGrid>
          <w:tr w:rsidR="00CE1728" w:rsidTr="00CE1728">
            <w:tc>
              <w:tcPr>
                <w:tcW w:w="10685" w:type="dxa"/>
                <w:shd w:val="clear" w:color="auto" w:fill="DBE5F1" w:themeFill="accent1" w:themeFillTint="33"/>
              </w:tcPr>
              <w:p w:rsidR="00CE1728" w:rsidRDefault="00CE1728" w:rsidP="00CE1728">
                <w:pPr>
                  <w:pStyle w:val="ListParagraph"/>
                  <w:spacing w:before="120" w:line="360" w:lineRule="auto"/>
                  <w:rPr>
                    <w:rFonts w:ascii="Dax-Regular" w:hAnsi="Dax-Regular"/>
                    <w:sz w:val="22"/>
                    <w:szCs w:val="22"/>
                  </w:rPr>
                </w:pPr>
              </w:p>
              <w:p w:rsidR="00CE1728" w:rsidRPr="00CE1728" w:rsidRDefault="00CE1728" w:rsidP="00CE1728">
                <w:pPr>
                  <w:pStyle w:val="ListParagraph"/>
                  <w:numPr>
                    <w:ilvl w:val="0"/>
                    <w:numId w:val="21"/>
                  </w:numPr>
                  <w:spacing w:before="120" w:line="360" w:lineRule="auto"/>
                  <w:ind w:left="720"/>
                  <w:rPr>
                    <w:rFonts w:ascii="Dax-Regular" w:hAnsi="Dax-Regular"/>
                    <w:sz w:val="22"/>
                    <w:szCs w:val="22"/>
                  </w:rPr>
                </w:pPr>
                <w:r w:rsidRPr="00CE1728">
                  <w:rPr>
                    <w:rFonts w:ascii="Dax-Regular" w:hAnsi="Dax-Regular"/>
                    <w:sz w:val="22"/>
                    <w:szCs w:val="22"/>
                  </w:rPr>
                  <w:t xml:space="preserve">What is the quality of attainment and progress for students across the subject and grade range when compared to international expectations? </w:t>
                </w:r>
              </w:p>
              <w:p w:rsidR="00CE1728" w:rsidRPr="00CE1728" w:rsidRDefault="00CE1728" w:rsidP="00CE1728">
                <w:pPr>
                  <w:pStyle w:val="ListParagraph"/>
                  <w:numPr>
                    <w:ilvl w:val="0"/>
                    <w:numId w:val="21"/>
                  </w:numPr>
                  <w:spacing w:before="120" w:line="360" w:lineRule="auto"/>
                  <w:ind w:left="720"/>
                  <w:rPr>
                    <w:rFonts w:ascii="Dax-Regular" w:hAnsi="Dax-Regular"/>
                    <w:sz w:val="22"/>
                    <w:szCs w:val="22"/>
                  </w:rPr>
                </w:pPr>
                <w:r w:rsidRPr="00CE1728">
                  <w:rPr>
                    <w:rFonts w:ascii="Dax-Regular" w:hAnsi="Dax-Regular"/>
                    <w:sz w:val="22"/>
                    <w:szCs w:val="22"/>
                  </w:rPr>
                  <w:t>What is the quality of the personal and social development of all our students?</w:t>
                </w:r>
              </w:p>
              <w:p w:rsidR="00CE1728" w:rsidRPr="00CE1728" w:rsidRDefault="00CE1728" w:rsidP="00CE1728">
                <w:pPr>
                  <w:pStyle w:val="ListParagraph"/>
                  <w:numPr>
                    <w:ilvl w:val="0"/>
                    <w:numId w:val="21"/>
                  </w:numPr>
                  <w:spacing w:before="120" w:line="360" w:lineRule="auto"/>
                  <w:ind w:left="720"/>
                  <w:rPr>
                    <w:rFonts w:ascii="Dax-Regular" w:hAnsi="Dax-Regular"/>
                    <w:sz w:val="22"/>
                    <w:szCs w:val="22"/>
                  </w:rPr>
                </w:pPr>
                <w:r w:rsidRPr="00CE1728">
                  <w:rPr>
                    <w:rFonts w:ascii="Dax-Regular" w:hAnsi="Dax-Regular"/>
                    <w:sz w:val="22"/>
                    <w:szCs w:val="22"/>
                  </w:rPr>
                  <w:t>Is the standard of teaching informed by sound analysis of assessment data and does it consistently promote effective learning?</w:t>
                </w:r>
              </w:p>
              <w:p w:rsidR="00CE1728" w:rsidRPr="00CE1728" w:rsidRDefault="00CE1728" w:rsidP="00CE1728">
                <w:pPr>
                  <w:pStyle w:val="ListParagraph"/>
                  <w:numPr>
                    <w:ilvl w:val="0"/>
                    <w:numId w:val="21"/>
                  </w:numPr>
                  <w:spacing w:before="120" w:line="360" w:lineRule="auto"/>
                  <w:ind w:left="720"/>
                  <w:rPr>
                    <w:rFonts w:ascii="Dax-Regular" w:hAnsi="Dax-Regular"/>
                    <w:sz w:val="22"/>
                    <w:szCs w:val="22"/>
                  </w:rPr>
                </w:pPr>
                <w:r w:rsidRPr="00CE1728">
                  <w:rPr>
                    <w:rFonts w:ascii="Dax-Regular" w:hAnsi="Dax-Regular"/>
                    <w:sz w:val="22"/>
                    <w:szCs w:val="22"/>
                  </w:rPr>
                  <w:t>Have we a curriculum that is compliant, broad, balanced and enriched by a variety of learning experiences for every student?</w:t>
                </w:r>
              </w:p>
              <w:p w:rsidR="00CE1728" w:rsidRPr="00CE1728" w:rsidRDefault="00CE1728" w:rsidP="00CE1728">
                <w:pPr>
                  <w:pStyle w:val="ListParagraph"/>
                  <w:numPr>
                    <w:ilvl w:val="0"/>
                    <w:numId w:val="21"/>
                  </w:numPr>
                  <w:spacing w:before="120" w:line="360" w:lineRule="auto"/>
                  <w:ind w:left="720"/>
                  <w:rPr>
                    <w:rFonts w:ascii="Dax-Regular" w:hAnsi="Dax-Regular"/>
                    <w:sz w:val="22"/>
                    <w:szCs w:val="22"/>
                  </w:rPr>
                </w:pPr>
                <w:r w:rsidRPr="00CE1728">
                  <w:rPr>
                    <w:rFonts w:ascii="Dax-Regular" w:hAnsi="Dax-Regular"/>
                    <w:sz w:val="22"/>
                    <w:szCs w:val="22"/>
                  </w:rPr>
                  <w:t>Is every student safe, secure and fully supported?</w:t>
                </w:r>
              </w:p>
              <w:p w:rsidR="00CE1728" w:rsidRPr="00CE1728" w:rsidRDefault="00CE1728" w:rsidP="00CE1728">
                <w:pPr>
                  <w:pStyle w:val="ListParagraph"/>
                  <w:numPr>
                    <w:ilvl w:val="0"/>
                    <w:numId w:val="21"/>
                  </w:numPr>
                  <w:spacing w:before="120" w:line="360" w:lineRule="auto"/>
                  <w:ind w:left="720"/>
                  <w:rPr>
                    <w:rFonts w:ascii="Dax-Regular" w:hAnsi="Dax-Regular"/>
                    <w:sz w:val="22"/>
                    <w:szCs w:val="22"/>
                  </w:rPr>
                </w:pPr>
                <w:r w:rsidRPr="00CE1728">
                  <w:rPr>
                    <w:rFonts w:ascii="Dax-Regular" w:hAnsi="Dax-Regular"/>
                    <w:sz w:val="22"/>
                    <w:szCs w:val="22"/>
                  </w:rPr>
                  <w:t>How effective are all aspects of leadership and governance in ensuring that promises to parents and students are kept?</w:t>
                </w:r>
              </w:p>
              <w:p w:rsidR="00CE1728" w:rsidRDefault="00CE1728" w:rsidP="00CE1728">
                <w:pPr>
                  <w:spacing w:before="120" w:line="240" w:lineRule="auto"/>
                  <w:jc w:val="left"/>
                  <w:rPr>
                    <w:rFonts w:ascii="Dax-Regular" w:hAnsi="Dax-Regular"/>
                    <w:sz w:val="22"/>
                    <w:szCs w:val="22"/>
                  </w:rPr>
                </w:pPr>
              </w:p>
            </w:tc>
          </w:tr>
        </w:tbl>
        <w:p w:rsidR="00E92965" w:rsidRPr="00CE1728" w:rsidRDefault="00E92965" w:rsidP="00CE1728">
          <w:pPr>
            <w:spacing w:before="120" w:line="240" w:lineRule="auto"/>
            <w:rPr>
              <w:rFonts w:ascii="Dax-Regular" w:hAnsi="Dax-Regular"/>
              <w:sz w:val="22"/>
              <w:szCs w:val="22"/>
            </w:rPr>
          </w:pPr>
        </w:p>
        <w:p w:rsidR="00E92965" w:rsidRPr="00E6434F" w:rsidRDefault="00E92965" w:rsidP="00E6434F">
          <w:pPr>
            <w:pStyle w:val="ListParagraph"/>
            <w:numPr>
              <w:ilvl w:val="0"/>
              <w:numId w:val="24"/>
            </w:numPr>
            <w:spacing w:before="120" w:line="240" w:lineRule="auto"/>
            <w:rPr>
              <w:rFonts w:ascii="Dax-Regular" w:hAnsi="Dax-Regular"/>
              <w:sz w:val="22"/>
              <w:szCs w:val="22"/>
            </w:rPr>
          </w:pPr>
          <w:r w:rsidRPr="00CE1728">
            <w:rPr>
              <w:rFonts w:ascii="Dax-Regular" w:hAnsi="Dax-Regular"/>
              <w:sz w:val="22"/>
              <w:szCs w:val="22"/>
            </w:rPr>
            <w:t xml:space="preserve">What are the proportions of quality – </w:t>
          </w:r>
          <w:r w:rsidRPr="00761F4A">
            <w:rPr>
              <w:rFonts w:ascii="Dax-Regular" w:hAnsi="Dax-Regular"/>
              <w:b/>
              <w:color w:val="FF0000"/>
              <w:sz w:val="22"/>
              <w:szCs w:val="22"/>
            </w:rPr>
            <w:t>unsatisfactory</w:t>
          </w:r>
          <w:r w:rsidRPr="00761F4A">
            <w:rPr>
              <w:rFonts w:ascii="Dax-Regular" w:hAnsi="Dax-Regular"/>
              <w:b/>
              <w:sz w:val="22"/>
              <w:szCs w:val="22"/>
            </w:rPr>
            <w:t>/acceptable/</w:t>
          </w:r>
          <w:r w:rsidRPr="00761F4A">
            <w:rPr>
              <w:rFonts w:ascii="Dax-Regular" w:hAnsi="Dax-Regular"/>
              <w:b/>
              <w:color w:val="0000FF"/>
              <w:sz w:val="22"/>
              <w:szCs w:val="22"/>
            </w:rPr>
            <w:t>good</w:t>
          </w:r>
          <w:r w:rsidRPr="00761F4A">
            <w:rPr>
              <w:rFonts w:ascii="Dax-Regular" w:hAnsi="Dax-Regular"/>
              <w:b/>
              <w:sz w:val="22"/>
              <w:szCs w:val="22"/>
            </w:rPr>
            <w:t>/</w:t>
          </w:r>
          <w:r w:rsidRPr="00761F4A">
            <w:rPr>
              <w:rFonts w:ascii="Dax-Regular" w:hAnsi="Dax-Regular"/>
              <w:b/>
              <w:color w:val="00B050"/>
              <w:sz w:val="22"/>
              <w:szCs w:val="22"/>
            </w:rPr>
            <w:t>outstanding</w:t>
          </w:r>
          <w:r w:rsidRPr="00CE1728">
            <w:rPr>
              <w:rFonts w:ascii="Dax-Regular" w:hAnsi="Dax-Regular"/>
              <w:sz w:val="22"/>
              <w:szCs w:val="22"/>
            </w:rPr>
            <w:t xml:space="preserve"> </w:t>
          </w:r>
          <w:r w:rsidR="00B557B1">
            <w:rPr>
              <w:rFonts w:ascii="Dax-Regular" w:hAnsi="Dax-Regular"/>
              <w:sz w:val="22"/>
              <w:szCs w:val="22"/>
            </w:rPr>
            <w:t>–</w:t>
          </w:r>
          <w:r w:rsidRPr="00CE1728">
            <w:rPr>
              <w:rFonts w:ascii="Dax-Regular" w:hAnsi="Dax-Regular"/>
              <w:sz w:val="22"/>
              <w:szCs w:val="22"/>
            </w:rPr>
            <w:t xml:space="preserve"> </w:t>
          </w:r>
          <w:r w:rsidR="00B557B1">
            <w:rPr>
              <w:rFonts w:ascii="Dax-Regular" w:hAnsi="Dax-Regular"/>
              <w:sz w:val="22"/>
              <w:szCs w:val="22"/>
            </w:rPr>
            <w:t xml:space="preserve">that </w:t>
          </w:r>
          <w:r w:rsidRPr="00CE1728">
            <w:rPr>
              <w:rFonts w:ascii="Dax-Regular" w:hAnsi="Dax-Regular"/>
              <w:sz w:val="22"/>
              <w:szCs w:val="22"/>
            </w:rPr>
            <w:t>apply to the different aspects of all that we do? Are we sure that our self-evaluation is not too positive or too negative and that we can guarantee the quality of a student’s experience in our school?</w:t>
          </w:r>
        </w:p>
      </w:sdtContent>
    </w:sdt>
    <w:sectPr w:rsidR="00E92965" w:rsidRPr="00E6434F" w:rsidSect="000F0935">
      <w:head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7E" w:rsidRDefault="00E2757E" w:rsidP="00966AF6">
      <w:pPr>
        <w:spacing w:after="0" w:line="240" w:lineRule="auto"/>
      </w:pPr>
      <w:r>
        <w:separator/>
      </w:r>
    </w:p>
  </w:endnote>
  <w:endnote w:type="continuationSeparator" w:id="0">
    <w:p w:rsidR="00E2757E" w:rsidRDefault="00E2757E" w:rsidP="009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Medium">
    <w:altName w:val="Centaur"/>
    <w:panose1 w:val="02010504060101020104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-Regular">
    <w:altName w:val="Centaur"/>
    <w:panose1 w:val="02010504060101020104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7E" w:rsidRDefault="00E2757E" w:rsidP="00966AF6">
      <w:pPr>
        <w:spacing w:after="0" w:line="240" w:lineRule="auto"/>
      </w:pPr>
      <w:r>
        <w:separator/>
      </w:r>
    </w:p>
  </w:footnote>
  <w:footnote w:type="continuationSeparator" w:id="0">
    <w:p w:rsidR="00E2757E" w:rsidRDefault="00E2757E" w:rsidP="009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4F" w:rsidRDefault="00E6434F">
    <w:pPr>
      <w:pStyle w:val="Header"/>
      <w:rPr>
        <w:rtl/>
        <w:lang w:bidi="ar-AE"/>
      </w:rPr>
    </w:pPr>
  </w:p>
  <w:p w:rsidR="00E6434F" w:rsidRDefault="00204E08" w:rsidP="007768E8">
    <w:pPr>
      <w:pStyle w:val="Header"/>
      <w:pBdr>
        <w:bottom w:val="single" w:sz="6" w:space="1" w:color="auto"/>
      </w:pBdr>
      <w:ind w:right="-61"/>
      <w:rPr>
        <w:rFonts w:asciiTheme="minorHAnsi" w:hAnsiTheme="minorHAnsi" w:cstheme="minorHAnsi"/>
        <w:b/>
        <w:lang w:bidi="ar-AE"/>
      </w:rPr>
    </w:pPr>
    <w:r w:rsidRPr="00204E08">
      <w:rPr>
        <w:rFonts w:asciiTheme="minorHAnsi" w:hAnsiTheme="minorHAnsi" w:cstheme="minorHAnsi"/>
        <w:b/>
        <w:lang w:bidi="ar-AE"/>
      </w:rPr>
      <w:t>Self-Evaluation – A Resource for Schools</w:t>
    </w:r>
    <w:r w:rsidR="007768E8">
      <w:rPr>
        <w:rFonts w:asciiTheme="minorHAnsi" w:hAnsiTheme="minorHAnsi" w:cstheme="minorHAnsi"/>
        <w:b/>
        <w:lang w:bidi="ar-AE"/>
      </w:rPr>
      <w:t xml:space="preserve"> in Dubai    </w:t>
    </w:r>
    <w:r>
      <w:rPr>
        <w:rFonts w:asciiTheme="minorHAnsi" w:hAnsiTheme="minorHAnsi" w:cstheme="minorHAnsi"/>
        <w:b/>
        <w:lang w:bidi="ar-AE"/>
      </w:rPr>
      <w:tab/>
      <w:t xml:space="preserve">      </w:t>
    </w:r>
    <w:r w:rsidR="007768E8">
      <w:rPr>
        <w:rFonts w:asciiTheme="minorHAnsi" w:hAnsiTheme="minorHAnsi" w:cstheme="minorHAnsi"/>
        <w:b/>
        <w:lang w:bidi="ar-AE"/>
      </w:rPr>
      <w:t xml:space="preserve">                                                           </w:t>
    </w:r>
    <w:r>
      <w:rPr>
        <w:rFonts w:asciiTheme="minorHAnsi" w:hAnsiTheme="minorHAnsi" w:cstheme="minorHAnsi"/>
        <w:b/>
        <w:lang w:bidi="ar-AE"/>
      </w:rPr>
      <w:t>Discussion Points</w:t>
    </w:r>
  </w:p>
  <w:p w:rsidR="007768E8" w:rsidRPr="00204E08" w:rsidRDefault="007768E8" w:rsidP="007768E8">
    <w:pPr>
      <w:pStyle w:val="Header"/>
      <w:ind w:right="-331"/>
      <w:rPr>
        <w:rFonts w:asciiTheme="minorHAnsi" w:hAnsiTheme="minorHAnsi" w:cstheme="minorHAnsi"/>
        <w:b/>
        <w:lang w:bidi="ar-A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D19"/>
    <w:multiLevelType w:val="hybridMultilevel"/>
    <w:tmpl w:val="6AB4E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254F0D"/>
    <w:multiLevelType w:val="hybridMultilevel"/>
    <w:tmpl w:val="E026BBC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405524F"/>
    <w:multiLevelType w:val="hybridMultilevel"/>
    <w:tmpl w:val="CE761578"/>
    <w:lvl w:ilvl="0" w:tplc="2E7224CC">
      <w:numFmt w:val="bullet"/>
      <w:lvlText w:val="•"/>
      <w:lvlJc w:val="left"/>
      <w:pPr>
        <w:ind w:left="1080" w:hanging="360"/>
      </w:pPr>
      <w:rPr>
        <w:rFonts w:ascii="Dax-Medium" w:eastAsiaTheme="minorHAnsi" w:hAnsi="Dax-Medium" w:cs="Dax-Medium" w:hint="default"/>
        <w:color w:val="1D609A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B2E6D"/>
    <w:multiLevelType w:val="hybridMultilevel"/>
    <w:tmpl w:val="B12C6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87077"/>
    <w:multiLevelType w:val="hybridMultilevel"/>
    <w:tmpl w:val="A3AA4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909EC"/>
    <w:multiLevelType w:val="hybridMultilevel"/>
    <w:tmpl w:val="92F6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DE4F22"/>
    <w:multiLevelType w:val="hybridMultilevel"/>
    <w:tmpl w:val="A3547846"/>
    <w:lvl w:ilvl="0" w:tplc="1C66C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C2FC3"/>
    <w:multiLevelType w:val="hybridMultilevel"/>
    <w:tmpl w:val="C8225142"/>
    <w:lvl w:ilvl="0" w:tplc="1960E552">
      <w:start w:val="1"/>
      <w:numFmt w:val="decimal"/>
      <w:pStyle w:val="FigureHeading"/>
      <w:lvlText w:val="Fig. %1."/>
      <w:lvlJc w:val="left"/>
      <w:pPr>
        <w:tabs>
          <w:tab w:val="num" w:pos="530"/>
        </w:tabs>
        <w:ind w:left="737" w:hanging="737"/>
      </w:pPr>
      <w:rPr>
        <w:rFonts w:hint="default"/>
      </w:rPr>
    </w:lvl>
    <w:lvl w:ilvl="1" w:tplc="274CF488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  <w:i w:val="0"/>
        <w:sz w:val="22"/>
      </w:rPr>
    </w:lvl>
    <w:lvl w:ilvl="2" w:tplc="90129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6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B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24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41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42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25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F6B28"/>
    <w:multiLevelType w:val="hybridMultilevel"/>
    <w:tmpl w:val="6518A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FF52E3"/>
    <w:multiLevelType w:val="hybridMultilevel"/>
    <w:tmpl w:val="302EB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6D0174"/>
    <w:multiLevelType w:val="hybridMultilevel"/>
    <w:tmpl w:val="B714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77024"/>
    <w:multiLevelType w:val="hybridMultilevel"/>
    <w:tmpl w:val="D51C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B1523"/>
    <w:multiLevelType w:val="hybridMultilevel"/>
    <w:tmpl w:val="9F8E7A72"/>
    <w:lvl w:ilvl="0" w:tplc="08090001">
      <w:start w:val="1"/>
      <w:numFmt w:val="decimal"/>
      <w:pStyle w:val="TableHeading"/>
      <w:lvlText w:val="Table %1."/>
      <w:lvlJc w:val="left"/>
      <w:pPr>
        <w:ind w:left="423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84D68"/>
    <w:multiLevelType w:val="hybridMultilevel"/>
    <w:tmpl w:val="A718E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29431B1"/>
    <w:multiLevelType w:val="hybridMultilevel"/>
    <w:tmpl w:val="5BC4C48E"/>
    <w:lvl w:ilvl="0" w:tplc="5E2C4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246295"/>
    <w:multiLevelType w:val="hybridMultilevel"/>
    <w:tmpl w:val="99BA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C0E22"/>
    <w:multiLevelType w:val="hybridMultilevel"/>
    <w:tmpl w:val="AFD4E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9B5E9D"/>
    <w:multiLevelType w:val="hybridMultilevel"/>
    <w:tmpl w:val="0D18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0449F"/>
    <w:multiLevelType w:val="hybridMultilevel"/>
    <w:tmpl w:val="8A86A07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3BD05BF"/>
    <w:multiLevelType w:val="hybridMultilevel"/>
    <w:tmpl w:val="21F4F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FE5385"/>
    <w:multiLevelType w:val="hybridMultilevel"/>
    <w:tmpl w:val="C2DAAB02"/>
    <w:lvl w:ilvl="0" w:tplc="25AC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ED5015"/>
    <w:multiLevelType w:val="hybridMultilevel"/>
    <w:tmpl w:val="0CD24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9B6A87"/>
    <w:multiLevelType w:val="hybridMultilevel"/>
    <w:tmpl w:val="CD7CCA44"/>
    <w:lvl w:ilvl="0" w:tplc="72801A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C0819"/>
    <w:multiLevelType w:val="hybridMultilevel"/>
    <w:tmpl w:val="5552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266F308">
      <w:start w:val="1"/>
      <w:numFmt w:val="decimal"/>
      <w:lvlText w:val="%2."/>
      <w:lvlJc w:val="left"/>
      <w:pPr>
        <w:ind w:left="180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CE2502"/>
    <w:multiLevelType w:val="hybridMultilevel"/>
    <w:tmpl w:val="BE0660F0"/>
    <w:lvl w:ilvl="0" w:tplc="5ADE7A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23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16"/>
  </w:num>
  <w:num w:numId="11">
    <w:abstractNumId w:val="21"/>
  </w:num>
  <w:num w:numId="12">
    <w:abstractNumId w:val="24"/>
  </w:num>
  <w:num w:numId="13">
    <w:abstractNumId w:val="6"/>
  </w:num>
  <w:num w:numId="14">
    <w:abstractNumId w:val="20"/>
  </w:num>
  <w:num w:numId="15">
    <w:abstractNumId w:val="14"/>
  </w:num>
  <w:num w:numId="16">
    <w:abstractNumId w:val="13"/>
  </w:num>
  <w:num w:numId="17">
    <w:abstractNumId w:val="19"/>
  </w:num>
  <w:num w:numId="18">
    <w:abstractNumId w:val="0"/>
  </w:num>
  <w:num w:numId="19">
    <w:abstractNumId w:val="5"/>
  </w:num>
  <w:num w:numId="20">
    <w:abstractNumId w:val="15"/>
  </w:num>
  <w:num w:numId="21">
    <w:abstractNumId w:val="18"/>
  </w:num>
  <w:num w:numId="22">
    <w:abstractNumId w:val="10"/>
  </w:num>
  <w:num w:numId="23">
    <w:abstractNumId w:val="2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F6"/>
    <w:rsid w:val="00001138"/>
    <w:rsid w:val="00003050"/>
    <w:rsid w:val="0000348C"/>
    <w:rsid w:val="00003983"/>
    <w:rsid w:val="000049F4"/>
    <w:rsid w:val="00010B23"/>
    <w:rsid w:val="00013844"/>
    <w:rsid w:val="00014B27"/>
    <w:rsid w:val="000218A3"/>
    <w:rsid w:val="00021AF2"/>
    <w:rsid w:val="0002217C"/>
    <w:rsid w:val="00022AC8"/>
    <w:rsid w:val="00024A3A"/>
    <w:rsid w:val="00024AAD"/>
    <w:rsid w:val="00024C31"/>
    <w:rsid w:val="00024E53"/>
    <w:rsid w:val="00025B1C"/>
    <w:rsid w:val="00025DE1"/>
    <w:rsid w:val="00030730"/>
    <w:rsid w:val="0003512F"/>
    <w:rsid w:val="0004144C"/>
    <w:rsid w:val="00041644"/>
    <w:rsid w:val="000461D4"/>
    <w:rsid w:val="00046338"/>
    <w:rsid w:val="000513C7"/>
    <w:rsid w:val="000516C5"/>
    <w:rsid w:val="00053957"/>
    <w:rsid w:val="00055481"/>
    <w:rsid w:val="00060CCD"/>
    <w:rsid w:val="0006111B"/>
    <w:rsid w:val="00061A65"/>
    <w:rsid w:val="0006275C"/>
    <w:rsid w:val="00064B16"/>
    <w:rsid w:val="000650E3"/>
    <w:rsid w:val="00071C54"/>
    <w:rsid w:val="00072667"/>
    <w:rsid w:val="0007482C"/>
    <w:rsid w:val="00074AF5"/>
    <w:rsid w:val="00077640"/>
    <w:rsid w:val="000802C7"/>
    <w:rsid w:val="00080456"/>
    <w:rsid w:val="00081618"/>
    <w:rsid w:val="0008232C"/>
    <w:rsid w:val="00086EEF"/>
    <w:rsid w:val="0009031A"/>
    <w:rsid w:val="00091A63"/>
    <w:rsid w:val="00091F56"/>
    <w:rsid w:val="000A3A27"/>
    <w:rsid w:val="000A538C"/>
    <w:rsid w:val="000A7535"/>
    <w:rsid w:val="000B0A76"/>
    <w:rsid w:val="000B0CCB"/>
    <w:rsid w:val="000B0CE4"/>
    <w:rsid w:val="000B177B"/>
    <w:rsid w:val="000B2F0A"/>
    <w:rsid w:val="000B6012"/>
    <w:rsid w:val="000B6FD6"/>
    <w:rsid w:val="000B749A"/>
    <w:rsid w:val="000C2331"/>
    <w:rsid w:val="000C24AE"/>
    <w:rsid w:val="000C44E2"/>
    <w:rsid w:val="000C6F1A"/>
    <w:rsid w:val="000C7989"/>
    <w:rsid w:val="000D049C"/>
    <w:rsid w:val="000D1ACD"/>
    <w:rsid w:val="000D24A7"/>
    <w:rsid w:val="000D3B4C"/>
    <w:rsid w:val="000D4342"/>
    <w:rsid w:val="000D4B1D"/>
    <w:rsid w:val="000D4B70"/>
    <w:rsid w:val="000D52D5"/>
    <w:rsid w:val="000D6D3B"/>
    <w:rsid w:val="000E270C"/>
    <w:rsid w:val="000E30FF"/>
    <w:rsid w:val="000E4768"/>
    <w:rsid w:val="000E52BE"/>
    <w:rsid w:val="000F0935"/>
    <w:rsid w:val="000F3AF9"/>
    <w:rsid w:val="00104242"/>
    <w:rsid w:val="00106290"/>
    <w:rsid w:val="0011220E"/>
    <w:rsid w:val="00114D70"/>
    <w:rsid w:val="00115FC3"/>
    <w:rsid w:val="0011665A"/>
    <w:rsid w:val="00116B4E"/>
    <w:rsid w:val="00125F53"/>
    <w:rsid w:val="00130D19"/>
    <w:rsid w:val="00131ACB"/>
    <w:rsid w:val="0013253E"/>
    <w:rsid w:val="00133295"/>
    <w:rsid w:val="001341FF"/>
    <w:rsid w:val="00134E0A"/>
    <w:rsid w:val="00135B81"/>
    <w:rsid w:val="001378D3"/>
    <w:rsid w:val="00143B3C"/>
    <w:rsid w:val="00144A0C"/>
    <w:rsid w:val="00150EA2"/>
    <w:rsid w:val="00151907"/>
    <w:rsid w:val="001566EC"/>
    <w:rsid w:val="00156F4D"/>
    <w:rsid w:val="001640CD"/>
    <w:rsid w:val="00166360"/>
    <w:rsid w:val="001678A8"/>
    <w:rsid w:val="00170382"/>
    <w:rsid w:val="001716D5"/>
    <w:rsid w:val="00172105"/>
    <w:rsid w:val="0017656B"/>
    <w:rsid w:val="0017693E"/>
    <w:rsid w:val="00176A09"/>
    <w:rsid w:val="00177A18"/>
    <w:rsid w:val="001807B8"/>
    <w:rsid w:val="00182F86"/>
    <w:rsid w:val="00184292"/>
    <w:rsid w:val="00186FDA"/>
    <w:rsid w:val="00191CCC"/>
    <w:rsid w:val="00192C9A"/>
    <w:rsid w:val="001967DA"/>
    <w:rsid w:val="001A0773"/>
    <w:rsid w:val="001A0EEE"/>
    <w:rsid w:val="001A2CEF"/>
    <w:rsid w:val="001A55A3"/>
    <w:rsid w:val="001B1048"/>
    <w:rsid w:val="001B112B"/>
    <w:rsid w:val="001B2D9E"/>
    <w:rsid w:val="001B413E"/>
    <w:rsid w:val="001C25B4"/>
    <w:rsid w:val="001C26C2"/>
    <w:rsid w:val="001C619D"/>
    <w:rsid w:val="001C6883"/>
    <w:rsid w:val="001C79B7"/>
    <w:rsid w:val="001D0C6E"/>
    <w:rsid w:val="001D1DCE"/>
    <w:rsid w:val="001D21C0"/>
    <w:rsid w:val="001D2A2C"/>
    <w:rsid w:val="001D5B78"/>
    <w:rsid w:val="001E3B57"/>
    <w:rsid w:val="001E5091"/>
    <w:rsid w:val="001E7F8D"/>
    <w:rsid w:val="001F0C19"/>
    <w:rsid w:val="001F4DC5"/>
    <w:rsid w:val="001F530F"/>
    <w:rsid w:val="001F5A22"/>
    <w:rsid w:val="001F7B8A"/>
    <w:rsid w:val="001F7C64"/>
    <w:rsid w:val="00204A33"/>
    <w:rsid w:val="00204E08"/>
    <w:rsid w:val="00205E7C"/>
    <w:rsid w:val="00206916"/>
    <w:rsid w:val="00213720"/>
    <w:rsid w:val="00216204"/>
    <w:rsid w:val="00220E08"/>
    <w:rsid w:val="0022165D"/>
    <w:rsid w:val="0022434B"/>
    <w:rsid w:val="00227C4E"/>
    <w:rsid w:val="0023166C"/>
    <w:rsid w:val="002361FE"/>
    <w:rsid w:val="00237FAF"/>
    <w:rsid w:val="00244129"/>
    <w:rsid w:val="002452BF"/>
    <w:rsid w:val="00245DF0"/>
    <w:rsid w:val="002516C5"/>
    <w:rsid w:val="0025521C"/>
    <w:rsid w:val="002559B5"/>
    <w:rsid w:val="0025670D"/>
    <w:rsid w:val="0025697E"/>
    <w:rsid w:val="00261A02"/>
    <w:rsid w:val="00261F79"/>
    <w:rsid w:val="00263CC5"/>
    <w:rsid w:val="002649E8"/>
    <w:rsid w:val="002673E5"/>
    <w:rsid w:val="00273A73"/>
    <w:rsid w:val="0028567A"/>
    <w:rsid w:val="00287FFE"/>
    <w:rsid w:val="00295306"/>
    <w:rsid w:val="0029536F"/>
    <w:rsid w:val="00295539"/>
    <w:rsid w:val="002A0D07"/>
    <w:rsid w:val="002A1960"/>
    <w:rsid w:val="002A3FC0"/>
    <w:rsid w:val="002A485A"/>
    <w:rsid w:val="002A5A30"/>
    <w:rsid w:val="002A5C0F"/>
    <w:rsid w:val="002A67B5"/>
    <w:rsid w:val="002B0C5C"/>
    <w:rsid w:val="002B1918"/>
    <w:rsid w:val="002B3433"/>
    <w:rsid w:val="002B3AD4"/>
    <w:rsid w:val="002B5DE4"/>
    <w:rsid w:val="002B6E0B"/>
    <w:rsid w:val="002B7683"/>
    <w:rsid w:val="002C0989"/>
    <w:rsid w:val="002C0FB8"/>
    <w:rsid w:val="002C2C7B"/>
    <w:rsid w:val="002C63A5"/>
    <w:rsid w:val="002C78DC"/>
    <w:rsid w:val="002D281B"/>
    <w:rsid w:val="002D67C0"/>
    <w:rsid w:val="002D771C"/>
    <w:rsid w:val="002E0512"/>
    <w:rsid w:val="002E110B"/>
    <w:rsid w:val="002E2643"/>
    <w:rsid w:val="002E428C"/>
    <w:rsid w:val="002E49E1"/>
    <w:rsid w:val="002E53FD"/>
    <w:rsid w:val="002E6118"/>
    <w:rsid w:val="002E74CC"/>
    <w:rsid w:val="002F3C00"/>
    <w:rsid w:val="002F43A1"/>
    <w:rsid w:val="002F4DB7"/>
    <w:rsid w:val="002F58B8"/>
    <w:rsid w:val="002F6F2B"/>
    <w:rsid w:val="00301136"/>
    <w:rsid w:val="00301687"/>
    <w:rsid w:val="00301ECA"/>
    <w:rsid w:val="00302194"/>
    <w:rsid w:val="00305567"/>
    <w:rsid w:val="00306517"/>
    <w:rsid w:val="00306C8D"/>
    <w:rsid w:val="00307FFE"/>
    <w:rsid w:val="0031015D"/>
    <w:rsid w:val="0031152F"/>
    <w:rsid w:val="00311A86"/>
    <w:rsid w:val="0031369F"/>
    <w:rsid w:val="003142C3"/>
    <w:rsid w:val="00325A42"/>
    <w:rsid w:val="003260C5"/>
    <w:rsid w:val="00327A47"/>
    <w:rsid w:val="003351AF"/>
    <w:rsid w:val="00337322"/>
    <w:rsid w:val="003374C7"/>
    <w:rsid w:val="00340E2D"/>
    <w:rsid w:val="00345227"/>
    <w:rsid w:val="00345A83"/>
    <w:rsid w:val="003477FB"/>
    <w:rsid w:val="003510F6"/>
    <w:rsid w:val="003602AA"/>
    <w:rsid w:val="0036277D"/>
    <w:rsid w:val="00362EA3"/>
    <w:rsid w:val="00365EA7"/>
    <w:rsid w:val="0036709D"/>
    <w:rsid w:val="00370657"/>
    <w:rsid w:val="003754DF"/>
    <w:rsid w:val="0038062E"/>
    <w:rsid w:val="003833E4"/>
    <w:rsid w:val="00384AFF"/>
    <w:rsid w:val="00387777"/>
    <w:rsid w:val="00390D06"/>
    <w:rsid w:val="00393411"/>
    <w:rsid w:val="00394500"/>
    <w:rsid w:val="00396CDE"/>
    <w:rsid w:val="003A42C5"/>
    <w:rsid w:val="003A724B"/>
    <w:rsid w:val="003B1204"/>
    <w:rsid w:val="003B163D"/>
    <w:rsid w:val="003B21E3"/>
    <w:rsid w:val="003B2BB4"/>
    <w:rsid w:val="003B3E69"/>
    <w:rsid w:val="003B65D4"/>
    <w:rsid w:val="003B7AA5"/>
    <w:rsid w:val="003C0F26"/>
    <w:rsid w:val="003C1B22"/>
    <w:rsid w:val="003C2AF5"/>
    <w:rsid w:val="003C6089"/>
    <w:rsid w:val="003C6223"/>
    <w:rsid w:val="003C774D"/>
    <w:rsid w:val="003D42DB"/>
    <w:rsid w:val="003D4FB1"/>
    <w:rsid w:val="003D7A45"/>
    <w:rsid w:val="003E1380"/>
    <w:rsid w:val="003E1721"/>
    <w:rsid w:val="003E44E0"/>
    <w:rsid w:val="003E4905"/>
    <w:rsid w:val="003E5364"/>
    <w:rsid w:val="003E546E"/>
    <w:rsid w:val="003E6085"/>
    <w:rsid w:val="003E6DF3"/>
    <w:rsid w:val="003E7C88"/>
    <w:rsid w:val="003F5816"/>
    <w:rsid w:val="003F633A"/>
    <w:rsid w:val="003F6D77"/>
    <w:rsid w:val="004006A5"/>
    <w:rsid w:val="004071BD"/>
    <w:rsid w:val="00407C9C"/>
    <w:rsid w:val="00410C8B"/>
    <w:rsid w:val="0041247F"/>
    <w:rsid w:val="00413CAD"/>
    <w:rsid w:val="00414FE9"/>
    <w:rsid w:val="00415ACA"/>
    <w:rsid w:val="00416961"/>
    <w:rsid w:val="00416DED"/>
    <w:rsid w:val="0041783B"/>
    <w:rsid w:val="004219BE"/>
    <w:rsid w:val="00422443"/>
    <w:rsid w:val="00425026"/>
    <w:rsid w:val="0042573C"/>
    <w:rsid w:val="00431216"/>
    <w:rsid w:val="00431AAE"/>
    <w:rsid w:val="00431C6C"/>
    <w:rsid w:val="004334DD"/>
    <w:rsid w:val="00435008"/>
    <w:rsid w:val="00442B2C"/>
    <w:rsid w:val="00443BAA"/>
    <w:rsid w:val="00444325"/>
    <w:rsid w:val="0044640E"/>
    <w:rsid w:val="00450087"/>
    <w:rsid w:val="00450402"/>
    <w:rsid w:val="0045186A"/>
    <w:rsid w:val="00454D53"/>
    <w:rsid w:val="004560F0"/>
    <w:rsid w:val="00456B27"/>
    <w:rsid w:val="0046302C"/>
    <w:rsid w:val="00463323"/>
    <w:rsid w:val="0046398E"/>
    <w:rsid w:val="00464213"/>
    <w:rsid w:val="004645B3"/>
    <w:rsid w:val="00465AD6"/>
    <w:rsid w:val="00471A85"/>
    <w:rsid w:val="00473405"/>
    <w:rsid w:val="00474426"/>
    <w:rsid w:val="00474A9C"/>
    <w:rsid w:val="00476476"/>
    <w:rsid w:val="00480341"/>
    <w:rsid w:val="004833A7"/>
    <w:rsid w:val="004836B0"/>
    <w:rsid w:val="0048542E"/>
    <w:rsid w:val="004877CA"/>
    <w:rsid w:val="00490430"/>
    <w:rsid w:val="00495A8A"/>
    <w:rsid w:val="00497700"/>
    <w:rsid w:val="004A1C90"/>
    <w:rsid w:val="004A4ABB"/>
    <w:rsid w:val="004B056E"/>
    <w:rsid w:val="004B0AA5"/>
    <w:rsid w:val="004B15BB"/>
    <w:rsid w:val="004B4100"/>
    <w:rsid w:val="004B4766"/>
    <w:rsid w:val="004B5144"/>
    <w:rsid w:val="004C0076"/>
    <w:rsid w:val="004C173F"/>
    <w:rsid w:val="004C1DBF"/>
    <w:rsid w:val="004C7DBA"/>
    <w:rsid w:val="004D0E25"/>
    <w:rsid w:val="004D13EF"/>
    <w:rsid w:val="004D172D"/>
    <w:rsid w:val="004D21BB"/>
    <w:rsid w:val="004D6890"/>
    <w:rsid w:val="004E0EEE"/>
    <w:rsid w:val="004E2067"/>
    <w:rsid w:val="004E21A4"/>
    <w:rsid w:val="004E2D8D"/>
    <w:rsid w:val="004E34AB"/>
    <w:rsid w:val="004E405D"/>
    <w:rsid w:val="004E4770"/>
    <w:rsid w:val="004E7AAB"/>
    <w:rsid w:val="004F0027"/>
    <w:rsid w:val="004F0908"/>
    <w:rsid w:val="004F21DC"/>
    <w:rsid w:val="004F72B4"/>
    <w:rsid w:val="005016BE"/>
    <w:rsid w:val="00511CD9"/>
    <w:rsid w:val="00511F3A"/>
    <w:rsid w:val="00513E38"/>
    <w:rsid w:val="0051738F"/>
    <w:rsid w:val="00521245"/>
    <w:rsid w:val="00521EA5"/>
    <w:rsid w:val="005278D9"/>
    <w:rsid w:val="00532EDB"/>
    <w:rsid w:val="00535871"/>
    <w:rsid w:val="00537590"/>
    <w:rsid w:val="0054355C"/>
    <w:rsid w:val="005466F7"/>
    <w:rsid w:val="00553324"/>
    <w:rsid w:val="00553D0D"/>
    <w:rsid w:val="00553FD7"/>
    <w:rsid w:val="005571FD"/>
    <w:rsid w:val="0055794D"/>
    <w:rsid w:val="00565EB2"/>
    <w:rsid w:val="00571059"/>
    <w:rsid w:val="00581737"/>
    <w:rsid w:val="005820DF"/>
    <w:rsid w:val="005826A8"/>
    <w:rsid w:val="00585120"/>
    <w:rsid w:val="005870A2"/>
    <w:rsid w:val="0059541E"/>
    <w:rsid w:val="0059684A"/>
    <w:rsid w:val="005A374B"/>
    <w:rsid w:val="005A4210"/>
    <w:rsid w:val="005A77A0"/>
    <w:rsid w:val="005B1FAA"/>
    <w:rsid w:val="005B42D0"/>
    <w:rsid w:val="005B56DF"/>
    <w:rsid w:val="005C054E"/>
    <w:rsid w:val="005C0AC2"/>
    <w:rsid w:val="005C30EE"/>
    <w:rsid w:val="005C3111"/>
    <w:rsid w:val="005C4A47"/>
    <w:rsid w:val="005C7EAF"/>
    <w:rsid w:val="005D1777"/>
    <w:rsid w:val="005D413D"/>
    <w:rsid w:val="005D6D9F"/>
    <w:rsid w:val="005E0BA0"/>
    <w:rsid w:val="005E2EA1"/>
    <w:rsid w:val="005E42AF"/>
    <w:rsid w:val="005E6FCA"/>
    <w:rsid w:val="005F3836"/>
    <w:rsid w:val="005F5686"/>
    <w:rsid w:val="005F741E"/>
    <w:rsid w:val="006028C6"/>
    <w:rsid w:val="00604F61"/>
    <w:rsid w:val="00604F91"/>
    <w:rsid w:val="00607BCD"/>
    <w:rsid w:val="00612911"/>
    <w:rsid w:val="00615EEC"/>
    <w:rsid w:val="00622F16"/>
    <w:rsid w:val="00623C9D"/>
    <w:rsid w:val="00625CF2"/>
    <w:rsid w:val="006260D0"/>
    <w:rsid w:val="00633123"/>
    <w:rsid w:val="006339D1"/>
    <w:rsid w:val="00643EC9"/>
    <w:rsid w:val="006511E9"/>
    <w:rsid w:val="00651A67"/>
    <w:rsid w:val="00651B2B"/>
    <w:rsid w:val="00653183"/>
    <w:rsid w:val="00657E9B"/>
    <w:rsid w:val="00661437"/>
    <w:rsid w:val="00661511"/>
    <w:rsid w:val="00661929"/>
    <w:rsid w:val="00665262"/>
    <w:rsid w:val="00667D4E"/>
    <w:rsid w:val="006734E7"/>
    <w:rsid w:val="00674111"/>
    <w:rsid w:val="00674C54"/>
    <w:rsid w:val="00674E00"/>
    <w:rsid w:val="00675356"/>
    <w:rsid w:val="006754C7"/>
    <w:rsid w:val="006806B2"/>
    <w:rsid w:val="00680860"/>
    <w:rsid w:val="00683730"/>
    <w:rsid w:val="00683745"/>
    <w:rsid w:val="0068400D"/>
    <w:rsid w:val="00684581"/>
    <w:rsid w:val="00684775"/>
    <w:rsid w:val="00685548"/>
    <w:rsid w:val="006865C4"/>
    <w:rsid w:val="00686BCD"/>
    <w:rsid w:val="00687A32"/>
    <w:rsid w:val="006910E0"/>
    <w:rsid w:val="00691D06"/>
    <w:rsid w:val="006968AD"/>
    <w:rsid w:val="006A1FB8"/>
    <w:rsid w:val="006A29B8"/>
    <w:rsid w:val="006A29FE"/>
    <w:rsid w:val="006A2F0D"/>
    <w:rsid w:val="006B145D"/>
    <w:rsid w:val="006B1C61"/>
    <w:rsid w:val="006B1CDB"/>
    <w:rsid w:val="006B2CD1"/>
    <w:rsid w:val="006B37B0"/>
    <w:rsid w:val="006B5CA4"/>
    <w:rsid w:val="006B6316"/>
    <w:rsid w:val="006B7632"/>
    <w:rsid w:val="006C0DA7"/>
    <w:rsid w:val="006C4C98"/>
    <w:rsid w:val="006C6F0A"/>
    <w:rsid w:val="006C741E"/>
    <w:rsid w:val="006D0792"/>
    <w:rsid w:val="006D4253"/>
    <w:rsid w:val="006D5242"/>
    <w:rsid w:val="006D5AC3"/>
    <w:rsid w:val="006D6822"/>
    <w:rsid w:val="006D6D87"/>
    <w:rsid w:val="006F1CE1"/>
    <w:rsid w:val="006F674C"/>
    <w:rsid w:val="00702C78"/>
    <w:rsid w:val="00702D59"/>
    <w:rsid w:val="007052DA"/>
    <w:rsid w:val="00706057"/>
    <w:rsid w:val="00710063"/>
    <w:rsid w:val="007110CC"/>
    <w:rsid w:val="00715980"/>
    <w:rsid w:val="00716633"/>
    <w:rsid w:val="00716CA7"/>
    <w:rsid w:val="007301DB"/>
    <w:rsid w:val="007329BF"/>
    <w:rsid w:val="00733C2B"/>
    <w:rsid w:val="00736295"/>
    <w:rsid w:val="0074083B"/>
    <w:rsid w:val="00740D85"/>
    <w:rsid w:val="007418A6"/>
    <w:rsid w:val="00741B01"/>
    <w:rsid w:val="0074201A"/>
    <w:rsid w:val="00751598"/>
    <w:rsid w:val="00755BB3"/>
    <w:rsid w:val="00755FC4"/>
    <w:rsid w:val="00756AB1"/>
    <w:rsid w:val="007573F3"/>
    <w:rsid w:val="00757EC0"/>
    <w:rsid w:val="00760C64"/>
    <w:rsid w:val="00761F4A"/>
    <w:rsid w:val="0076227B"/>
    <w:rsid w:val="00763131"/>
    <w:rsid w:val="00763FF3"/>
    <w:rsid w:val="007659B4"/>
    <w:rsid w:val="00766F3B"/>
    <w:rsid w:val="00771183"/>
    <w:rsid w:val="0077567C"/>
    <w:rsid w:val="007768E8"/>
    <w:rsid w:val="00782E86"/>
    <w:rsid w:val="00782FCA"/>
    <w:rsid w:val="00783942"/>
    <w:rsid w:val="007855D0"/>
    <w:rsid w:val="007919F6"/>
    <w:rsid w:val="00791F85"/>
    <w:rsid w:val="007A264D"/>
    <w:rsid w:val="007A538D"/>
    <w:rsid w:val="007A6E21"/>
    <w:rsid w:val="007B0F0C"/>
    <w:rsid w:val="007B29F5"/>
    <w:rsid w:val="007B2CAF"/>
    <w:rsid w:val="007B4453"/>
    <w:rsid w:val="007B53E1"/>
    <w:rsid w:val="007C1545"/>
    <w:rsid w:val="007C54F4"/>
    <w:rsid w:val="007C6B1B"/>
    <w:rsid w:val="007C6D86"/>
    <w:rsid w:val="007D24D0"/>
    <w:rsid w:val="007D3325"/>
    <w:rsid w:val="007E1548"/>
    <w:rsid w:val="007E2A3D"/>
    <w:rsid w:val="007E3824"/>
    <w:rsid w:val="007E5CA9"/>
    <w:rsid w:val="007E7DDD"/>
    <w:rsid w:val="007F09BB"/>
    <w:rsid w:val="007F0AA9"/>
    <w:rsid w:val="007F3EC2"/>
    <w:rsid w:val="007F46A9"/>
    <w:rsid w:val="007F65F4"/>
    <w:rsid w:val="00800BDC"/>
    <w:rsid w:val="0080338D"/>
    <w:rsid w:val="00805856"/>
    <w:rsid w:val="00811AB7"/>
    <w:rsid w:val="00812B4E"/>
    <w:rsid w:val="008143A9"/>
    <w:rsid w:val="008144F0"/>
    <w:rsid w:val="00820B3F"/>
    <w:rsid w:val="00821E58"/>
    <w:rsid w:val="008223C1"/>
    <w:rsid w:val="00823DA2"/>
    <w:rsid w:val="00827144"/>
    <w:rsid w:val="00827614"/>
    <w:rsid w:val="00830315"/>
    <w:rsid w:val="00830ADB"/>
    <w:rsid w:val="00834DF6"/>
    <w:rsid w:val="00836660"/>
    <w:rsid w:val="008374EB"/>
    <w:rsid w:val="00841A5F"/>
    <w:rsid w:val="00842534"/>
    <w:rsid w:val="00842ABA"/>
    <w:rsid w:val="0084425C"/>
    <w:rsid w:val="00844357"/>
    <w:rsid w:val="00846E5D"/>
    <w:rsid w:val="00847063"/>
    <w:rsid w:val="008474EE"/>
    <w:rsid w:val="008505E8"/>
    <w:rsid w:val="00851BC4"/>
    <w:rsid w:val="00852EDD"/>
    <w:rsid w:val="008553BD"/>
    <w:rsid w:val="0086159A"/>
    <w:rsid w:val="0086183D"/>
    <w:rsid w:val="00863944"/>
    <w:rsid w:val="00864969"/>
    <w:rsid w:val="008664E3"/>
    <w:rsid w:val="00871B3F"/>
    <w:rsid w:val="00872ED0"/>
    <w:rsid w:val="008738AD"/>
    <w:rsid w:val="00874B4D"/>
    <w:rsid w:val="00883082"/>
    <w:rsid w:val="00883BFE"/>
    <w:rsid w:val="008858CB"/>
    <w:rsid w:val="00891838"/>
    <w:rsid w:val="00893677"/>
    <w:rsid w:val="00893DC6"/>
    <w:rsid w:val="00895629"/>
    <w:rsid w:val="008A43FD"/>
    <w:rsid w:val="008B0E7B"/>
    <w:rsid w:val="008B1F25"/>
    <w:rsid w:val="008B2C04"/>
    <w:rsid w:val="008B484D"/>
    <w:rsid w:val="008B630D"/>
    <w:rsid w:val="008B7F0F"/>
    <w:rsid w:val="008C2353"/>
    <w:rsid w:val="008C4C67"/>
    <w:rsid w:val="008C4CDA"/>
    <w:rsid w:val="008C52EC"/>
    <w:rsid w:val="008C6FF1"/>
    <w:rsid w:val="008D31D2"/>
    <w:rsid w:val="008D623E"/>
    <w:rsid w:val="008D7E04"/>
    <w:rsid w:val="008E1831"/>
    <w:rsid w:val="008E1C3B"/>
    <w:rsid w:val="008E79DA"/>
    <w:rsid w:val="008F388A"/>
    <w:rsid w:val="008F4590"/>
    <w:rsid w:val="0090260F"/>
    <w:rsid w:val="00903E74"/>
    <w:rsid w:val="00904223"/>
    <w:rsid w:val="0090483B"/>
    <w:rsid w:val="00905056"/>
    <w:rsid w:val="00905489"/>
    <w:rsid w:val="0090707B"/>
    <w:rsid w:val="009075F8"/>
    <w:rsid w:val="00907B49"/>
    <w:rsid w:val="00914B7B"/>
    <w:rsid w:val="009153BB"/>
    <w:rsid w:val="0091581D"/>
    <w:rsid w:val="009167B1"/>
    <w:rsid w:val="009220DF"/>
    <w:rsid w:val="009221BD"/>
    <w:rsid w:val="009235AA"/>
    <w:rsid w:val="009322A5"/>
    <w:rsid w:val="009334F7"/>
    <w:rsid w:val="00933947"/>
    <w:rsid w:val="0093493A"/>
    <w:rsid w:val="00935A14"/>
    <w:rsid w:val="00935A89"/>
    <w:rsid w:val="00940029"/>
    <w:rsid w:val="00941A7F"/>
    <w:rsid w:val="00941B64"/>
    <w:rsid w:val="009512B7"/>
    <w:rsid w:val="009514A5"/>
    <w:rsid w:val="00953240"/>
    <w:rsid w:val="00953637"/>
    <w:rsid w:val="00955EBC"/>
    <w:rsid w:val="0095674C"/>
    <w:rsid w:val="0096070F"/>
    <w:rsid w:val="00960AC3"/>
    <w:rsid w:val="0096177F"/>
    <w:rsid w:val="00963383"/>
    <w:rsid w:val="00966AF6"/>
    <w:rsid w:val="009673BA"/>
    <w:rsid w:val="009712B7"/>
    <w:rsid w:val="0097254F"/>
    <w:rsid w:val="00973898"/>
    <w:rsid w:val="00977899"/>
    <w:rsid w:val="00980B4B"/>
    <w:rsid w:val="00986B31"/>
    <w:rsid w:val="0098703E"/>
    <w:rsid w:val="00990CF2"/>
    <w:rsid w:val="009910AF"/>
    <w:rsid w:val="00995539"/>
    <w:rsid w:val="009A0F22"/>
    <w:rsid w:val="009A1993"/>
    <w:rsid w:val="009A2A82"/>
    <w:rsid w:val="009A4006"/>
    <w:rsid w:val="009A5DB5"/>
    <w:rsid w:val="009A716B"/>
    <w:rsid w:val="009A7291"/>
    <w:rsid w:val="009B058A"/>
    <w:rsid w:val="009B4425"/>
    <w:rsid w:val="009C0B35"/>
    <w:rsid w:val="009C3E65"/>
    <w:rsid w:val="009C4960"/>
    <w:rsid w:val="009C560C"/>
    <w:rsid w:val="009C6DAE"/>
    <w:rsid w:val="009D161E"/>
    <w:rsid w:val="009D263E"/>
    <w:rsid w:val="009D33FE"/>
    <w:rsid w:val="009D3741"/>
    <w:rsid w:val="009D37E3"/>
    <w:rsid w:val="009D39D6"/>
    <w:rsid w:val="009D3C5E"/>
    <w:rsid w:val="009D41B4"/>
    <w:rsid w:val="009D5072"/>
    <w:rsid w:val="009D5AB0"/>
    <w:rsid w:val="009D70AA"/>
    <w:rsid w:val="009D79AF"/>
    <w:rsid w:val="009D7B4A"/>
    <w:rsid w:val="009D7B78"/>
    <w:rsid w:val="009E0022"/>
    <w:rsid w:val="009E0BBC"/>
    <w:rsid w:val="009E2098"/>
    <w:rsid w:val="009E26B5"/>
    <w:rsid w:val="009E45A5"/>
    <w:rsid w:val="009E4F18"/>
    <w:rsid w:val="009E5919"/>
    <w:rsid w:val="009E75DD"/>
    <w:rsid w:val="009E77E3"/>
    <w:rsid w:val="009E7972"/>
    <w:rsid w:val="009E7D96"/>
    <w:rsid w:val="009F07DF"/>
    <w:rsid w:val="009F4536"/>
    <w:rsid w:val="009F756D"/>
    <w:rsid w:val="00A0006E"/>
    <w:rsid w:val="00A002FE"/>
    <w:rsid w:val="00A00F9C"/>
    <w:rsid w:val="00A01858"/>
    <w:rsid w:val="00A025B8"/>
    <w:rsid w:val="00A11BDC"/>
    <w:rsid w:val="00A11C91"/>
    <w:rsid w:val="00A13020"/>
    <w:rsid w:val="00A13077"/>
    <w:rsid w:val="00A1429E"/>
    <w:rsid w:val="00A163CC"/>
    <w:rsid w:val="00A23ACD"/>
    <w:rsid w:val="00A25CB9"/>
    <w:rsid w:val="00A25F88"/>
    <w:rsid w:val="00A26F18"/>
    <w:rsid w:val="00A27926"/>
    <w:rsid w:val="00A303C4"/>
    <w:rsid w:val="00A31330"/>
    <w:rsid w:val="00A3206C"/>
    <w:rsid w:val="00A32339"/>
    <w:rsid w:val="00A3345A"/>
    <w:rsid w:val="00A37474"/>
    <w:rsid w:val="00A4111A"/>
    <w:rsid w:val="00A41300"/>
    <w:rsid w:val="00A4197C"/>
    <w:rsid w:val="00A43D92"/>
    <w:rsid w:val="00A44308"/>
    <w:rsid w:val="00A462DF"/>
    <w:rsid w:val="00A515B5"/>
    <w:rsid w:val="00A54309"/>
    <w:rsid w:val="00A56FBF"/>
    <w:rsid w:val="00A56FF3"/>
    <w:rsid w:val="00A6753B"/>
    <w:rsid w:val="00A675D8"/>
    <w:rsid w:val="00A70AC5"/>
    <w:rsid w:val="00A71ABC"/>
    <w:rsid w:val="00A722E8"/>
    <w:rsid w:val="00A733A5"/>
    <w:rsid w:val="00A74F2B"/>
    <w:rsid w:val="00A817A8"/>
    <w:rsid w:val="00A82A11"/>
    <w:rsid w:val="00A83069"/>
    <w:rsid w:val="00A83F99"/>
    <w:rsid w:val="00A91EDC"/>
    <w:rsid w:val="00A92011"/>
    <w:rsid w:val="00A979E6"/>
    <w:rsid w:val="00AA11F4"/>
    <w:rsid w:val="00AA3314"/>
    <w:rsid w:val="00AA3F40"/>
    <w:rsid w:val="00AA42D9"/>
    <w:rsid w:val="00AA67A6"/>
    <w:rsid w:val="00AA7ED2"/>
    <w:rsid w:val="00AB149B"/>
    <w:rsid w:val="00AB1FD3"/>
    <w:rsid w:val="00AB3FCC"/>
    <w:rsid w:val="00AB67E1"/>
    <w:rsid w:val="00AC1793"/>
    <w:rsid w:val="00AC3681"/>
    <w:rsid w:val="00AC3C05"/>
    <w:rsid w:val="00AC4D3B"/>
    <w:rsid w:val="00AC4F35"/>
    <w:rsid w:val="00AC5A1B"/>
    <w:rsid w:val="00AC5B0F"/>
    <w:rsid w:val="00AC5F89"/>
    <w:rsid w:val="00AD1367"/>
    <w:rsid w:val="00AD1E4C"/>
    <w:rsid w:val="00AD2610"/>
    <w:rsid w:val="00AD3DAE"/>
    <w:rsid w:val="00AD5EF2"/>
    <w:rsid w:val="00AD6D3F"/>
    <w:rsid w:val="00AE1FB7"/>
    <w:rsid w:val="00AE2B83"/>
    <w:rsid w:val="00AE2B8E"/>
    <w:rsid w:val="00AE5DEC"/>
    <w:rsid w:val="00AE791B"/>
    <w:rsid w:val="00AF1F0E"/>
    <w:rsid w:val="00AF1FF5"/>
    <w:rsid w:val="00AF32E1"/>
    <w:rsid w:val="00AF4757"/>
    <w:rsid w:val="00AF4925"/>
    <w:rsid w:val="00B0329B"/>
    <w:rsid w:val="00B061B8"/>
    <w:rsid w:val="00B06AA4"/>
    <w:rsid w:val="00B07FEE"/>
    <w:rsid w:val="00B12DB8"/>
    <w:rsid w:val="00B13A80"/>
    <w:rsid w:val="00B146C8"/>
    <w:rsid w:val="00B167A5"/>
    <w:rsid w:val="00B171FD"/>
    <w:rsid w:val="00B21461"/>
    <w:rsid w:val="00B21CED"/>
    <w:rsid w:val="00B2255D"/>
    <w:rsid w:val="00B25E8B"/>
    <w:rsid w:val="00B26AF0"/>
    <w:rsid w:val="00B3164E"/>
    <w:rsid w:val="00B3313D"/>
    <w:rsid w:val="00B333D5"/>
    <w:rsid w:val="00B36B08"/>
    <w:rsid w:val="00B40C3D"/>
    <w:rsid w:val="00B425B2"/>
    <w:rsid w:val="00B443AF"/>
    <w:rsid w:val="00B45AE7"/>
    <w:rsid w:val="00B515E9"/>
    <w:rsid w:val="00B530D1"/>
    <w:rsid w:val="00B53A9C"/>
    <w:rsid w:val="00B557B1"/>
    <w:rsid w:val="00B55C63"/>
    <w:rsid w:val="00B5696D"/>
    <w:rsid w:val="00B624DB"/>
    <w:rsid w:val="00B636D5"/>
    <w:rsid w:val="00B637B7"/>
    <w:rsid w:val="00B666A1"/>
    <w:rsid w:val="00B73AA4"/>
    <w:rsid w:val="00B76E3A"/>
    <w:rsid w:val="00B81E38"/>
    <w:rsid w:val="00B83F96"/>
    <w:rsid w:val="00B86270"/>
    <w:rsid w:val="00B942AB"/>
    <w:rsid w:val="00B94F4C"/>
    <w:rsid w:val="00BA1CD8"/>
    <w:rsid w:val="00BA3746"/>
    <w:rsid w:val="00BA3D2D"/>
    <w:rsid w:val="00BA65D0"/>
    <w:rsid w:val="00BB013A"/>
    <w:rsid w:val="00BB05B9"/>
    <w:rsid w:val="00BB159E"/>
    <w:rsid w:val="00BB2483"/>
    <w:rsid w:val="00BB3B43"/>
    <w:rsid w:val="00BB3F30"/>
    <w:rsid w:val="00BB7EBD"/>
    <w:rsid w:val="00BC23AE"/>
    <w:rsid w:val="00BC3A93"/>
    <w:rsid w:val="00BD04CB"/>
    <w:rsid w:val="00BD27B9"/>
    <w:rsid w:val="00BD5FFA"/>
    <w:rsid w:val="00BD63F0"/>
    <w:rsid w:val="00BE1379"/>
    <w:rsid w:val="00BE1F1F"/>
    <w:rsid w:val="00BE2E9D"/>
    <w:rsid w:val="00BE2F8F"/>
    <w:rsid w:val="00BE39F1"/>
    <w:rsid w:val="00BE3DE4"/>
    <w:rsid w:val="00BE4F59"/>
    <w:rsid w:val="00BE6CCE"/>
    <w:rsid w:val="00BF001D"/>
    <w:rsid w:val="00BF06CD"/>
    <w:rsid w:val="00BF3B67"/>
    <w:rsid w:val="00BF67AB"/>
    <w:rsid w:val="00C00A78"/>
    <w:rsid w:val="00C02A9F"/>
    <w:rsid w:val="00C0326C"/>
    <w:rsid w:val="00C07073"/>
    <w:rsid w:val="00C114D6"/>
    <w:rsid w:val="00C13DD9"/>
    <w:rsid w:val="00C17AAE"/>
    <w:rsid w:val="00C17F89"/>
    <w:rsid w:val="00C2247D"/>
    <w:rsid w:val="00C22756"/>
    <w:rsid w:val="00C27856"/>
    <w:rsid w:val="00C33A64"/>
    <w:rsid w:val="00C33B01"/>
    <w:rsid w:val="00C368D1"/>
    <w:rsid w:val="00C40B9A"/>
    <w:rsid w:val="00C40F19"/>
    <w:rsid w:val="00C42054"/>
    <w:rsid w:val="00C42C94"/>
    <w:rsid w:val="00C43281"/>
    <w:rsid w:val="00C55E1E"/>
    <w:rsid w:val="00C56107"/>
    <w:rsid w:val="00C624B7"/>
    <w:rsid w:val="00C63051"/>
    <w:rsid w:val="00C64068"/>
    <w:rsid w:val="00C6755F"/>
    <w:rsid w:val="00C71D59"/>
    <w:rsid w:val="00C73F77"/>
    <w:rsid w:val="00C81D78"/>
    <w:rsid w:val="00C841A5"/>
    <w:rsid w:val="00C87DCB"/>
    <w:rsid w:val="00C87EE3"/>
    <w:rsid w:val="00C908E1"/>
    <w:rsid w:val="00C91A9B"/>
    <w:rsid w:val="00C91B5E"/>
    <w:rsid w:val="00C921FF"/>
    <w:rsid w:val="00C923AF"/>
    <w:rsid w:val="00C939CF"/>
    <w:rsid w:val="00C94368"/>
    <w:rsid w:val="00C960B9"/>
    <w:rsid w:val="00CA170E"/>
    <w:rsid w:val="00CA3834"/>
    <w:rsid w:val="00CA47EC"/>
    <w:rsid w:val="00CA49B4"/>
    <w:rsid w:val="00CA4D17"/>
    <w:rsid w:val="00CB0A05"/>
    <w:rsid w:val="00CB0D1F"/>
    <w:rsid w:val="00CB2975"/>
    <w:rsid w:val="00CB586F"/>
    <w:rsid w:val="00CB6C98"/>
    <w:rsid w:val="00CC0145"/>
    <w:rsid w:val="00CC06EB"/>
    <w:rsid w:val="00CC148B"/>
    <w:rsid w:val="00CC28F3"/>
    <w:rsid w:val="00CC3382"/>
    <w:rsid w:val="00CC7D5B"/>
    <w:rsid w:val="00CD023A"/>
    <w:rsid w:val="00CD436F"/>
    <w:rsid w:val="00CD5B34"/>
    <w:rsid w:val="00CD6F10"/>
    <w:rsid w:val="00CD7D45"/>
    <w:rsid w:val="00CD7FBE"/>
    <w:rsid w:val="00CE1728"/>
    <w:rsid w:val="00CE1E2D"/>
    <w:rsid w:val="00CE31BE"/>
    <w:rsid w:val="00CE3AD4"/>
    <w:rsid w:val="00CE7422"/>
    <w:rsid w:val="00CF28EE"/>
    <w:rsid w:val="00CF4A80"/>
    <w:rsid w:val="00CF64A8"/>
    <w:rsid w:val="00D01062"/>
    <w:rsid w:val="00D04096"/>
    <w:rsid w:val="00D0597C"/>
    <w:rsid w:val="00D10096"/>
    <w:rsid w:val="00D10591"/>
    <w:rsid w:val="00D10D58"/>
    <w:rsid w:val="00D122EE"/>
    <w:rsid w:val="00D12312"/>
    <w:rsid w:val="00D12CF7"/>
    <w:rsid w:val="00D13082"/>
    <w:rsid w:val="00D132A3"/>
    <w:rsid w:val="00D15867"/>
    <w:rsid w:val="00D15C0C"/>
    <w:rsid w:val="00D2118F"/>
    <w:rsid w:val="00D2197C"/>
    <w:rsid w:val="00D21D98"/>
    <w:rsid w:val="00D230B6"/>
    <w:rsid w:val="00D236A6"/>
    <w:rsid w:val="00D26C73"/>
    <w:rsid w:val="00D3220F"/>
    <w:rsid w:val="00D3374E"/>
    <w:rsid w:val="00D351EC"/>
    <w:rsid w:val="00D35DB8"/>
    <w:rsid w:val="00D367BC"/>
    <w:rsid w:val="00D37699"/>
    <w:rsid w:val="00D420FC"/>
    <w:rsid w:val="00D423C1"/>
    <w:rsid w:val="00D43CF3"/>
    <w:rsid w:val="00D4750C"/>
    <w:rsid w:val="00D50D3E"/>
    <w:rsid w:val="00D53E69"/>
    <w:rsid w:val="00D60D47"/>
    <w:rsid w:val="00D63562"/>
    <w:rsid w:val="00D639C6"/>
    <w:rsid w:val="00D675B7"/>
    <w:rsid w:val="00D70655"/>
    <w:rsid w:val="00D72DB9"/>
    <w:rsid w:val="00D72E79"/>
    <w:rsid w:val="00D74343"/>
    <w:rsid w:val="00D7599B"/>
    <w:rsid w:val="00D75C27"/>
    <w:rsid w:val="00D767EB"/>
    <w:rsid w:val="00D801B5"/>
    <w:rsid w:val="00D80B16"/>
    <w:rsid w:val="00D812FA"/>
    <w:rsid w:val="00D82E59"/>
    <w:rsid w:val="00D84B47"/>
    <w:rsid w:val="00D91F42"/>
    <w:rsid w:val="00D934C2"/>
    <w:rsid w:val="00D95027"/>
    <w:rsid w:val="00DA1204"/>
    <w:rsid w:val="00DA2B77"/>
    <w:rsid w:val="00DA2BBA"/>
    <w:rsid w:val="00DA2BFE"/>
    <w:rsid w:val="00DA367E"/>
    <w:rsid w:val="00DA38F3"/>
    <w:rsid w:val="00DA6285"/>
    <w:rsid w:val="00DA710F"/>
    <w:rsid w:val="00DB09C8"/>
    <w:rsid w:val="00DB1BE2"/>
    <w:rsid w:val="00DB1CA0"/>
    <w:rsid w:val="00DB2971"/>
    <w:rsid w:val="00DB5EB0"/>
    <w:rsid w:val="00DC2929"/>
    <w:rsid w:val="00DC384E"/>
    <w:rsid w:val="00DC3D1A"/>
    <w:rsid w:val="00DC528E"/>
    <w:rsid w:val="00DC5E34"/>
    <w:rsid w:val="00DC7C5C"/>
    <w:rsid w:val="00DD0EED"/>
    <w:rsid w:val="00DD1563"/>
    <w:rsid w:val="00DD2CEF"/>
    <w:rsid w:val="00DD4F8B"/>
    <w:rsid w:val="00DD5C72"/>
    <w:rsid w:val="00DD6C8D"/>
    <w:rsid w:val="00DD7275"/>
    <w:rsid w:val="00DE1657"/>
    <w:rsid w:val="00DE3306"/>
    <w:rsid w:val="00DE5DBF"/>
    <w:rsid w:val="00DF2B88"/>
    <w:rsid w:val="00DF65C4"/>
    <w:rsid w:val="00DF6E8B"/>
    <w:rsid w:val="00E002AB"/>
    <w:rsid w:val="00E0334B"/>
    <w:rsid w:val="00E049A4"/>
    <w:rsid w:val="00E172A0"/>
    <w:rsid w:val="00E20F47"/>
    <w:rsid w:val="00E21051"/>
    <w:rsid w:val="00E2136B"/>
    <w:rsid w:val="00E25CC2"/>
    <w:rsid w:val="00E2757E"/>
    <w:rsid w:val="00E32C6D"/>
    <w:rsid w:val="00E33F66"/>
    <w:rsid w:val="00E36961"/>
    <w:rsid w:val="00E43864"/>
    <w:rsid w:val="00E45445"/>
    <w:rsid w:val="00E4573A"/>
    <w:rsid w:val="00E469E5"/>
    <w:rsid w:val="00E475DC"/>
    <w:rsid w:val="00E47E04"/>
    <w:rsid w:val="00E50CD9"/>
    <w:rsid w:val="00E51C03"/>
    <w:rsid w:val="00E55C46"/>
    <w:rsid w:val="00E62D83"/>
    <w:rsid w:val="00E63410"/>
    <w:rsid w:val="00E6434F"/>
    <w:rsid w:val="00E701CB"/>
    <w:rsid w:val="00E72E07"/>
    <w:rsid w:val="00E73D88"/>
    <w:rsid w:val="00E7527E"/>
    <w:rsid w:val="00E7781F"/>
    <w:rsid w:val="00E82BCE"/>
    <w:rsid w:val="00E83AF9"/>
    <w:rsid w:val="00E85407"/>
    <w:rsid w:val="00E855C8"/>
    <w:rsid w:val="00E86C31"/>
    <w:rsid w:val="00E9020E"/>
    <w:rsid w:val="00E90782"/>
    <w:rsid w:val="00E91230"/>
    <w:rsid w:val="00E92965"/>
    <w:rsid w:val="00E9359A"/>
    <w:rsid w:val="00E9374D"/>
    <w:rsid w:val="00EA0B8A"/>
    <w:rsid w:val="00EA10DE"/>
    <w:rsid w:val="00EA1EED"/>
    <w:rsid w:val="00EA217B"/>
    <w:rsid w:val="00EA2F32"/>
    <w:rsid w:val="00EA31EE"/>
    <w:rsid w:val="00EA449A"/>
    <w:rsid w:val="00EA5B7D"/>
    <w:rsid w:val="00EA5EB3"/>
    <w:rsid w:val="00EA63C3"/>
    <w:rsid w:val="00EA73A9"/>
    <w:rsid w:val="00EB08F9"/>
    <w:rsid w:val="00EB18EA"/>
    <w:rsid w:val="00EB2492"/>
    <w:rsid w:val="00EB2902"/>
    <w:rsid w:val="00EC1C5C"/>
    <w:rsid w:val="00EC35A0"/>
    <w:rsid w:val="00EC4B81"/>
    <w:rsid w:val="00EC516A"/>
    <w:rsid w:val="00EC58A6"/>
    <w:rsid w:val="00EC70FD"/>
    <w:rsid w:val="00EC7FF8"/>
    <w:rsid w:val="00ED1BEB"/>
    <w:rsid w:val="00ED2002"/>
    <w:rsid w:val="00ED2985"/>
    <w:rsid w:val="00ED34F4"/>
    <w:rsid w:val="00ED44DE"/>
    <w:rsid w:val="00ED5009"/>
    <w:rsid w:val="00ED6304"/>
    <w:rsid w:val="00ED6A9C"/>
    <w:rsid w:val="00EE071C"/>
    <w:rsid w:val="00EE2CAA"/>
    <w:rsid w:val="00EE31A2"/>
    <w:rsid w:val="00EF380E"/>
    <w:rsid w:val="00EF3F59"/>
    <w:rsid w:val="00EF4A7A"/>
    <w:rsid w:val="00EF5BEE"/>
    <w:rsid w:val="00EF6479"/>
    <w:rsid w:val="00EF6824"/>
    <w:rsid w:val="00EF72B7"/>
    <w:rsid w:val="00F005CA"/>
    <w:rsid w:val="00F03E96"/>
    <w:rsid w:val="00F052CE"/>
    <w:rsid w:val="00F06709"/>
    <w:rsid w:val="00F070F4"/>
    <w:rsid w:val="00F07352"/>
    <w:rsid w:val="00F11C57"/>
    <w:rsid w:val="00F13A36"/>
    <w:rsid w:val="00F153BE"/>
    <w:rsid w:val="00F16F9C"/>
    <w:rsid w:val="00F320B2"/>
    <w:rsid w:val="00F32D62"/>
    <w:rsid w:val="00F34112"/>
    <w:rsid w:val="00F43007"/>
    <w:rsid w:val="00F44387"/>
    <w:rsid w:val="00F44F69"/>
    <w:rsid w:val="00F45F25"/>
    <w:rsid w:val="00F46FE2"/>
    <w:rsid w:val="00F5084B"/>
    <w:rsid w:val="00F536A5"/>
    <w:rsid w:val="00F5562E"/>
    <w:rsid w:val="00F5584A"/>
    <w:rsid w:val="00F56D34"/>
    <w:rsid w:val="00F5719F"/>
    <w:rsid w:val="00F576ED"/>
    <w:rsid w:val="00F70209"/>
    <w:rsid w:val="00F7160C"/>
    <w:rsid w:val="00F73B90"/>
    <w:rsid w:val="00F740CE"/>
    <w:rsid w:val="00F744D0"/>
    <w:rsid w:val="00F76770"/>
    <w:rsid w:val="00F77A5C"/>
    <w:rsid w:val="00F822D6"/>
    <w:rsid w:val="00F825F0"/>
    <w:rsid w:val="00F84FB2"/>
    <w:rsid w:val="00F90C2C"/>
    <w:rsid w:val="00F9186A"/>
    <w:rsid w:val="00F93433"/>
    <w:rsid w:val="00F93CA8"/>
    <w:rsid w:val="00F94229"/>
    <w:rsid w:val="00F94DBB"/>
    <w:rsid w:val="00FA0C07"/>
    <w:rsid w:val="00FA2007"/>
    <w:rsid w:val="00FA2699"/>
    <w:rsid w:val="00FA396A"/>
    <w:rsid w:val="00FA5219"/>
    <w:rsid w:val="00FA5640"/>
    <w:rsid w:val="00FA58E5"/>
    <w:rsid w:val="00FA5C0D"/>
    <w:rsid w:val="00FA6625"/>
    <w:rsid w:val="00FB053A"/>
    <w:rsid w:val="00FB0807"/>
    <w:rsid w:val="00FB0918"/>
    <w:rsid w:val="00FB4EFB"/>
    <w:rsid w:val="00FB4F2E"/>
    <w:rsid w:val="00FB62D9"/>
    <w:rsid w:val="00FC0C10"/>
    <w:rsid w:val="00FC2ED8"/>
    <w:rsid w:val="00FC4FB4"/>
    <w:rsid w:val="00FC6400"/>
    <w:rsid w:val="00FC6C56"/>
    <w:rsid w:val="00FD2222"/>
    <w:rsid w:val="00FD29D8"/>
    <w:rsid w:val="00FD31D4"/>
    <w:rsid w:val="00FD4E68"/>
    <w:rsid w:val="00FD7033"/>
    <w:rsid w:val="00FE2376"/>
    <w:rsid w:val="00FE2E31"/>
    <w:rsid w:val="00FE6FC1"/>
    <w:rsid w:val="00FF0486"/>
    <w:rsid w:val="00FF1F91"/>
    <w:rsid w:val="00FF2174"/>
    <w:rsid w:val="00FF2926"/>
    <w:rsid w:val="00FF3D5A"/>
    <w:rsid w:val="00FF417B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ullet"/>
    <w:qFormat/>
    <w:rsid w:val="00CE1728"/>
    <w:pPr>
      <w:spacing w:after="120" w:line="300" w:lineRule="exact"/>
      <w:jc w:val="both"/>
    </w:pPr>
    <w:rPr>
      <w:rFonts w:ascii="Times New Roman" w:hAnsi="Times New Roman" w:cs="Arial"/>
      <w:sz w:val="24"/>
      <w:szCs w:val="24"/>
      <w:lang w:val="en-GB" w:eastAsia="fr-FR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A3D"/>
    <w:pPr>
      <w:spacing w:before="120" w:after="360"/>
      <w:jc w:val="center"/>
      <w:outlineLvl w:val="0"/>
    </w:pPr>
    <w:rPr>
      <w:rFonts w:ascii="Calibri" w:hAnsi="Calibri" w:cs="Times New Roman"/>
      <w:b/>
      <w:smallCaps/>
      <w:spacing w:val="5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A3D"/>
    <w:pPr>
      <w:keepNext/>
      <w:spacing w:before="360"/>
      <w:jc w:val="left"/>
      <w:outlineLvl w:val="1"/>
    </w:pPr>
    <w:rPr>
      <w:rFonts w:cs="Times New Roman"/>
      <w:b/>
      <w:smallCaps/>
      <w:spacing w:val="5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A3D"/>
    <w:pPr>
      <w:keepNext/>
      <w:spacing w:before="180" w:after="60"/>
      <w:jc w:val="left"/>
      <w:outlineLvl w:val="2"/>
    </w:pPr>
    <w:rPr>
      <w:rFonts w:ascii="Arial" w:hAnsi="Arial"/>
      <w:b/>
      <w:i/>
      <w:spacing w:val="10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3D"/>
    <w:pPr>
      <w:keepNext/>
      <w:spacing w:before="180" w:after="60"/>
      <w:jc w:val="left"/>
      <w:outlineLvl w:val="3"/>
    </w:pPr>
    <w:rPr>
      <w:rFonts w:eastAsiaTheme="majorEastAsia" w:cstheme="majorBidi"/>
      <w:i/>
      <w:spacing w:val="10"/>
      <w:sz w:val="22"/>
      <w:szCs w:val="22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7E2A3D"/>
    <w:pPr>
      <w:outlineLvl w:val="4"/>
    </w:pPr>
    <w:rPr>
      <w:rFonts w:ascii="Times New Roman" w:hAnsi="Times New Roman" w:cs="Times New Roman"/>
      <w:spacing w:val="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A3D"/>
    <w:pPr>
      <w:keepNext/>
      <w:spacing w:before="240" w:after="60"/>
      <w:jc w:val="left"/>
      <w:outlineLvl w:val="5"/>
    </w:pPr>
    <w:rPr>
      <w:rFonts w:cs="Times New Roman"/>
      <w:b/>
      <w:smallCaps/>
      <w:spacing w:val="1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2A3D"/>
    <w:pPr>
      <w:spacing w:after="0"/>
      <w:jc w:val="left"/>
      <w:outlineLvl w:val="6"/>
    </w:pPr>
    <w:rPr>
      <w:rFonts w:ascii="Calibri" w:eastAsiaTheme="majorEastAsia" w:hAnsi="Calibri" w:cstheme="majorBidi"/>
      <w:b/>
      <w:smallCaps/>
      <w:color w:val="C0504D"/>
      <w:spacing w:val="10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2A3D"/>
    <w:pPr>
      <w:spacing w:after="0"/>
      <w:jc w:val="left"/>
      <w:outlineLvl w:val="7"/>
    </w:pPr>
    <w:rPr>
      <w:rFonts w:ascii="Calibri" w:hAnsi="Calibri" w:cs="Times New Roman"/>
      <w:b/>
      <w:i/>
      <w:smallCaps/>
      <w:color w:val="943634"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2A3D"/>
    <w:pPr>
      <w:spacing w:after="0"/>
      <w:jc w:val="left"/>
      <w:outlineLvl w:val="8"/>
    </w:pPr>
    <w:rPr>
      <w:rFonts w:ascii="Calibri" w:hAnsi="Calibri" w:cs="Times New Roman"/>
      <w:b/>
      <w:i/>
      <w:smallCaps/>
      <w:color w:val="622423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A3D"/>
    <w:rPr>
      <w:b/>
      <w:smallCaps/>
      <w:spacing w:val="5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7E2A3D"/>
    <w:rPr>
      <w:rFonts w:ascii="Times New Roman" w:hAnsi="Times New Roman"/>
      <w:b/>
      <w:smallCaps/>
      <w:spacing w:val="5"/>
      <w:sz w:val="22"/>
      <w:szCs w:val="22"/>
      <w:lang w:eastAsia="fr-F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E2A3D"/>
    <w:rPr>
      <w:rFonts w:ascii="Arial" w:hAnsi="Arial" w:cs="Arial"/>
      <w:b/>
      <w:i/>
      <w:spacing w:val="10"/>
      <w:lang w:eastAsia="fr-FR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E2A3D"/>
    <w:rPr>
      <w:rFonts w:ascii="Times New Roman" w:eastAsiaTheme="majorEastAsia" w:hAnsi="Times New Roman" w:cstheme="majorBidi"/>
      <w:i/>
      <w:spacing w:val="10"/>
      <w:sz w:val="22"/>
      <w:szCs w:val="22"/>
      <w:lang w:eastAsia="fr-FR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7E2A3D"/>
    <w:rPr>
      <w:rFonts w:ascii="Times New Roman" w:hAnsi="Times New Roman"/>
      <w:b/>
      <w:i/>
      <w:spacing w:val="5"/>
      <w:sz w:val="22"/>
      <w:szCs w:val="22"/>
      <w:lang w:eastAsia="fr-FR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E2A3D"/>
    <w:rPr>
      <w:rFonts w:ascii="Times New Roman" w:hAnsi="Times New Roman"/>
      <w:b/>
      <w:smallCaps/>
      <w:spacing w:val="10"/>
      <w:lang w:eastAsia="fr-FR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7E2A3D"/>
    <w:rPr>
      <w:rFonts w:eastAsiaTheme="majorEastAsia" w:cstheme="majorBidi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E2A3D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7E2A3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A3D"/>
    <w:rPr>
      <w:rFonts w:cs="Times New Roman"/>
      <w:b/>
      <w:bCs/>
      <w:caps/>
      <w:sz w:val="16"/>
      <w:szCs w:val="18"/>
    </w:rPr>
  </w:style>
  <w:style w:type="character" w:styleId="FootnoteReference">
    <w:name w:val="footnote reference"/>
    <w:basedOn w:val="DefaultParagraphFont"/>
    <w:uiPriority w:val="99"/>
    <w:qFormat/>
    <w:rsid w:val="007E2A3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E2A3D"/>
    <w:pPr>
      <w:pBdr>
        <w:top w:val="single" w:sz="12" w:space="1" w:color="C0504D"/>
      </w:pBdr>
      <w:spacing w:line="240" w:lineRule="auto"/>
      <w:jc w:val="right"/>
    </w:pPr>
    <w:rPr>
      <w:rFonts w:ascii="Calibri" w:hAnsi="Calibri" w:cs="Times New Roman"/>
      <w:smallCaps/>
      <w:sz w:val="48"/>
      <w:szCs w:val="48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E2A3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A3D"/>
    <w:pPr>
      <w:spacing w:after="720" w:line="240" w:lineRule="auto"/>
      <w:jc w:val="right"/>
    </w:pPr>
    <w:rPr>
      <w:rFonts w:ascii="Cambria" w:hAnsi="Cambria" w:cs="Times New Roman"/>
      <w:sz w:val="20"/>
      <w:szCs w:val="22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E2A3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E2A3D"/>
    <w:rPr>
      <w:b/>
      <w:color w:val="C0504D"/>
    </w:rPr>
  </w:style>
  <w:style w:type="character" w:styleId="Emphasis">
    <w:name w:val="Emphasis"/>
    <w:uiPriority w:val="20"/>
    <w:qFormat/>
    <w:rsid w:val="007E2A3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2A3D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E2A3D"/>
    <w:rPr>
      <w:rFonts w:ascii="Times New Roman" w:hAnsi="Times New Roman"/>
      <w:sz w:val="24"/>
      <w:szCs w:val="24"/>
      <w:lang w:val="en-GB" w:eastAsia="fr-FR" w:bidi="en-US"/>
    </w:rPr>
  </w:style>
  <w:style w:type="paragraph" w:styleId="ListParagraph">
    <w:name w:val="List Paragraph"/>
    <w:basedOn w:val="Normal"/>
    <w:uiPriority w:val="34"/>
    <w:qFormat/>
    <w:rsid w:val="007E2A3D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E2A3D"/>
    <w:rPr>
      <w:rFonts w:ascii="Calibri" w:hAnsi="Calibri" w:cs="Times New Roman"/>
      <w:i/>
      <w:sz w:val="20"/>
      <w:szCs w:val="20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7E2A3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A3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 w:cs="Times New Roman"/>
      <w:b/>
      <w:i/>
      <w:color w:val="FFFFFF"/>
      <w:sz w:val="20"/>
      <w:szCs w:val="20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A3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E2A3D"/>
    <w:rPr>
      <w:i/>
    </w:rPr>
  </w:style>
  <w:style w:type="character" w:styleId="IntenseEmphasis">
    <w:name w:val="Intense Emphasis"/>
    <w:uiPriority w:val="21"/>
    <w:qFormat/>
    <w:rsid w:val="007E2A3D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E2A3D"/>
    <w:rPr>
      <w:b/>
    </w:rPr>
  </w:style>
  <w:style w:type="character" w:styleId="IntenseReference">
    <w:name w:val="Intense Reference"/>
    <w:uiPriority w:val="32"/>
    <w:qFormat/>
    <w:rsid w:val="007E2A3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2A3D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A3D"/>
    <w:pPr>
      <w:outlineLvl w:val="9"/>
    </w:pPr>
    <w:rPr>
      <w:rFonts w:ascii="Times New Roman" w:hAnsi="Times New Roman"/>
      <w:lang w:val="en-GB" w:bidi="en-US"/>
    </w:rPr>
  </w:style>
  <w:style w:type="paragraph" w:customStyle="1" w:styleId="TableHeading">
    <w:name w:val="Table Heading"/>
    <w:basedOn w:val="Normal"/>
    <w:qFormat/>
    <w:rsid w:val="007E2A3D"/>
    <w:pPr>
      <w:keepNext/>
      <w:numPr>
        <w:numId w:val="1"/>
      </w:numPr>
      <w:tabs>
        <w:tab w:val="left" w:pos="454"/>
        <w:tab w:val="left" w:pos="850"/>
        <w:tab w:val="left" w:pos="1191"/>
        <w:tab w:val="left" w:pos="1531"/>
      </w:tabs>
      <w:spacing w:before="240"/>
      <w:jc w:val="center"/>
    </w:pPr>
    <w:rPr>
      <w:rFonts w:ascii="Arial" w:hAnsi="Arial"/>
      <w:b/>
      <w:bCs/>
      <w:sz w:val="18"/>
      <w:szCs w:val="18"/>
      <w:lang w:val="en-US" w:eastAsia="en-US"/>
    </w:rPr>
  </w:style>
  <w:style w:type="paragraph" w:customStyle="1" w:styleId="FigureHeading">
    <w:name w:val="Figure Heading"/>
    <w:basedOn w:val="Normal"/>
    <w:qFormat/>
    <w:rsid w:val="007E2A3D"/>
    <w:pPr>
      <w:keepNext/>
      <w:numPr>
        <w:numId w:val="2"/>
      </w:numPr>
      <w:spacing w:before="24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6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F6"/>
    <w:rPr>
      <w:rFonts w:ascii="Times New Roman" w:hAnsi="Times New Roman" w:cs="Arial"/>
      <w:sz w:val="24"/>
      <w:szCs w:val="24"/>
      <w:lang w:val="en-GB" w:eastAsia="fr-FR" w:bidi="en-US"/>
    </w:rPr>
  </w:style>
  <w:style w:type="paragraph" w:styleId="Footer">
    <w:name w:val="footer"/>
    <w:basedOn w:val="Normal"/>
    <w:link w:val="FooterChar"/>
    <w:uiPriority w:val="99"/>
    <w:unhideWhenUsed/>
    <w:rsid w:val="00966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F6"/>
    <w:rPr>
      <w:rFonts w:ascii="Times New Roman" w:hAnsi="Times New Roman" w:cs="Arial"/>
      <w:sz w:val="24"/>
      <w:szCs w:val="24"/>
      <w:lang w:val="en-GB" w:eastAsia="fr-FR" w:bidi="en-US"/>
    </w:rPr>
  </w:style>
  <w:style w:type="table" w:styleId="TableGrid">
    <w:name w:val="Table Grid"/>
    <w:basedOn w:val="TableNormal"/>
    <w:uiPriority w:val="59"/>
    <w:rsid w:val="0096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6A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03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ullet"/>
    <w:qFormat/>
    <w:rsid w:val="00CE1728"/>
    <w:pPr>
      <w:spacing w:after="120" w:line="300" w:lineRule="exact"/>
      <w:jc w:val="both"/>
    </w:pPr>
    <w:rPr>
      <w:rFonts w:ascii="Times New Roman" w:hAnsi="Times New Roman" w:cs="Arial"/>
      <w:sz w:val="24"/>
      <w:szCs w:val="24"/>
      <w:lang w:val="en-GB" w:eastAsia="fr-FR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A3D"/>
    <w:pPr>
      <w:spacing w:before="120" w:after="360"/>
      <w:jc w:val="center"/>
      <w:outlineLvl w:val="0"/>
    </w:pPr>
    <w:rPr>
      <w:rFonts w:ascii="Calibri" w:hAnsi="Calibri" w:cs="Times New Roman"/>
      <w:b/>
      <w:smallCaps/>
      <w:spacing w:val="5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A3D"/>
    <w:pPr>
      <w:keepNext/>
      <w:spacing w:before="360"/>
      <w:jc w:val="left"/>
      <w:outlineLvl w:val="1"/>
    </w:pPr>
    <w:rPr>
      <w:rFonts w:cs="Times New Roman"/>
      <w:b/>
      <w:smallCaps/>
      <w:spacing w:val="5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A3D"/>
    <w:pPr>
      <w:keepNext/>
      <w:spacing w:before="180" w:after="60"/>
      <w:jc w:val="left"/>
      <w:outlineLvl w:val="2"/>
    </w:pPr>
    <w:rPr>
      <w:rFonts w:ascii="Arial" w:hAnsi="Arial"/>
      <w:b/>
      <w:i/>
      <w:spacing w:val="10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3D"/>
    <w:pPr>
      <w:keepNext/>
      <w:spacing w:before="180" w:after="60"/>
      <w:jc w:val="left"/>
      <w:outlineLvl w:val="3"/>
    </w:pPr>
    <w:rPr>
      <w:rFonts w:eastAsiaTheme="majorEastAsia" w:cstheme="majorBidi"/>
      <w:i/>
      <w:spacing w:val="10"/>
      <w:sz w:val="22"/>
      <w:szCs w:val="22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7E2A3D"/>
    <w:pPr>
      <w:outlineLvl w:val="4"/>
    </w:pPr>
    <w:rPr>
      <w:rFonts w:ascii="Times New Roman" w:hAnsi="Times New Roman" w:cs="Times New Roman"/>
      <w:spacing w:val="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A3D"/>
    <w:pPr>
      <w:keepNext/>
      <w:spacing w:before="240" w:after="60"/>
      <w:jc w:val="left"/>
      <w:outlineLvl w:val="5"/>
    </w:pPr>
    <w:rPr>
      <w:rFonts w:cs="Times New Roman"/>
      <w:b/>
      <w:smallCaps/>
      <w:spacing w:val="1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2A3D"/>
    <w:pPr>
      <w:spacing w:after="0"/>
      <w:jc w:val="left"/>
      <w:outlineLvl w:val="6"/>
    </w:pPr>
    <w:rPr>
      <w:rFonts w:ascii="Calibri" w:eastAsiaTheme="majorEastAsia" w:hAnsi="Calibri" w:cstheme="majorBidi"/>
      <w:b/>
      <w:smallCaps/>
      <w:color w:val="C0504D"/>
      <w:spacing w:val="10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2A3D"/>
    <w:pPr>
      <w:spacing w:after="0"/>
      <w:jc w:val="left"/>
      <w:outlineLvl w:val="7"/>
    </w:pPr>
    <w:rPr>
      <w:rFonts w:ascii="Calibri" w:hAnsi="Calibri" w:cs="Times New Roman"/>
      <w:b/>
      <w:i/>
      <w:smallCaps/>
      <w:color w:val="943634"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2A3D"/>
    <w:pPr>
      <w:spacing w:after="0"/>
      <w:jc w:val="left"/>
      <w:outlineLvl w:val="8"/>
    </w:pPr>
    <w:rPr>
      <w:rFonts w:ascii="Calibri" w:hAnsi="Calibri" w:cs="Times New Roman"/>
      <w:b/>
      <w:i/>
      <w:smallCaps/>
      <w:color w:val="622423"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A3D"/>
    <w:rPr>
      <w:b/>
      <w:smallCaps/>
      <w:spacing w:val="5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7E2A3D"/>
    <w:rPr>
      <w:rFonts w:ascii="Times New Roman" w:hAnsi="Times New Roman"/>
      <w:b/>
      <w:smallCaps/>
      <w:spacing w:val="5"/>
      <w:sz w:val="22"/>
      <w:szCs w:val="22"/>
      <w:lang w:eastAsia="fr-F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E2A3D"/>
    <w:rPr>
      <w:rFonts w:ascii="Arial" w:hAnsi="Arial" w:cs="Arial"/>
      <w:b/>
      <w:i/>
      <w:spacing w:val="10"/>
      <w:lang w:eastAsia="fr-FR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E2A3D"/>
    <w:rPr>
      <w:rFonts w:ascii="Times New Roman" w:eastAsiaTheme="majorEastAsia" w:hAnsi="Times New Roman" w:cstheme="majorBidi"/>
      <w:i/>
      <w:spacing w:val="10"/>
      <w:sz w:val="22"/>
      <w:szCs w:val="22"/>
      <w:lang w:eastAsia="fr-FR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7E2A3D"/>
    <w:rPr>
      <w:rFonts w:ascii="Times New Roman" w:hAnsi="Times New Roman"/>
      <w:b/>
      <w:i/>
      <w:spacing w:val="5"/>
      <w:sz w:val="22"/>
      <w:szCs w:val="22"/>
      <w:lang w:eastAsia="fr-FR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E2A3D"/>
    <w:rPr>
      <w:rFonts w:ascii="Times New Roman" w:hAnsi="Times New Roman"/>
      <w:b/>
      <w:smallCaps/>
      <w:spacing w:val="10"/>
      <w:lang w:eastAsia="fr-FR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7E2A3D"/>
    <w:rPr>
      <w:rFonts w:eastAsiaTheme="majorEastAsia" w:cstheme="majorBidi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E2A3D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7E2A3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A3D"/>
    <w:rPr>
      <w:rFonts w:cs="Times New Roman"/>
      <w:b/>
      <w:bCs/>
      <w:caps/>
      <w:sz w:val="16"/>
      <w:szCs w:val="18"/>
    </w:rPr>
  </w:style>
  <w:style w:type="character" w:styleId="FootnoteReference">
    <w:name w:val="footnote reference"/>
    <w:basedOn w:val="DefaultParagraphFont"/>
    <w:uiPriority w:val="99"/>
    <w:qFormat/>
    <w:rsid w:val="007E2A3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E2A3D"/>
    <w:pPr>
      <w:pBdr>
        <w:top w:val="single" w:sz="12" w:space="1" w:color="C0504D"/>
      </w:pBdr>
      <w:spacing w:line="240" w:lineRule="auto"/>
      <w:jc w:val="right"/>
    </w:pPr>
    <w:rPr>
      <w:rFonts w:ascii="Calibri" w:hAnsi="Calibri" w:cs="Times New Roman"/>
      <w:smallCaps/>
      <w:sz w:val="48"/>
      <w:szCs w:val="48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E2A3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A3D"/>
    <w:pPr>
      <w:spacing w:after="720" w:line="240" w:lineRule="auto"/>
      <w:jc w:val="right"/>
    </w:pPr>
    <w:rPr>
      <w:rFonts w:ascii="Cambria" w:hAnsi="Cambria" w:cs="Times New Roman"/>
      <w:sz w:val="20"/>
      <w:szCs w:val="22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E2A3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E2A3D"/>
    <w:rPr>
      <w:b/>
      <w:color w:val="C0504D"/>
    </w:rPr>
  </w:style>
  <w:style w:type="character" w:styleId="Emphasis">
    <w:name w:val="Emphasis"/>
    <w:uiPriority w:val="20"/>
    <w:qFormat/>
    <w:rsid w:val="007E2A3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2A3D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E2A3D"/>
    <w:rPr>
      <w:rFonts w:ascii="Times New Roman" w:hAnsi="Times New Roman"/>
      <w:sz w:val="24"/>
      <w:szCs w:val="24"/>
      <w:lang w:val="en-GB" w:eastAsia="fr-FR" w:bidi="en-US"/>
    </w:rPr>
  </w:style>
  <w:style w:type="paragraph" w:styleId="ListParagraph">
    <w:name w:val="List Paragraph"/>
    <w:basedOn w:val="Normal"/>
    <w:uiPriority w:val="34"/>
    <w:qFormat/>
    <w:rsid w:val="007E2A3D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E2A3D"/>
    <w:rPr>
      <w:rFonts w:ascii="Calibri" w:hAnsi="Calibri" w:cs="Times New Roman"/>
      <w:i/>
      <w:sz w:val="20"/>
      <w:szCs w:val="20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7E2A3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A3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 w:cs="Times New Roman"/>
      <w:b/>
      <w:i/>
      <w:color w:val="FFFFFF"/>
      <w:sz w:val="20"/>
      <w:szCs w:val="20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A3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E2A3D"/>
    <w:rPr>
      <w:i/>
    </w:rPr>
  </w:style>
  <w:style w:type="character" w:styleId="IntenseEmphasis">
    <w:name w:val="Intense Emphasis"/>
    <w:uiPriority w:val="21"/>
    <w:qFormat/>
    <w:rsid w:val="007E2A3D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E2A3D"/>
    <w:rPr>
      <w:b/>
    </w:rPr>
  </w:style>
  <w:style w:type="character" w:styleId="IntenseReference">
    <w:name w:val="Intense Reference"/>
    <w:uiPriority w:val="32"/>
    <w:qFormat/>
    <w:rsid w:val="007E2A3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2A3D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A3D"/>
    <w:pPr>
      <w:outlineLvl w:val="9"/>
    </w:pPr>
    <w:rPr>
      <w:rFonts w:ascii="Times New Roman" w:hAnsi="Times New Roman"/>
      <w:lang w:val="en-GB" w:bidi="en-US"/>
    </w:rPr>
  </w:style>
  <w:style w:type="paragraph" w:customStyle="1" w:styleId="TableHeading">
    <w:name w:val="Table Heading"/>
    <w:basedOn w:val="Normal"/>
    <w:qFormat/>
    <w:rsid w:val="007E2A3D"/>
    <w:pPr>
      <w:keepNext/>
      <w:numPr>
        <w:numId w:val="1"/>
      </w:numPr>
      <w:tabs>
        <w:tab w:val="left" w:pos="454"/>
        <w:tab w:val="left" w:pos="850"/>
        <w:tab w:val="left" w:pos="1191"/>
        <w:tab w:val="left" w:pos="1531"/>
      </w:tabs>
      <w:spacing w:before="240"/>
      <w:jc w:val="center"/>
    </w:pPr>
    <w:rPr>
      <w:rFonts w:ascii="Arial" w:hAnsi="Arial"/>
      <w:b/>
      <w:bCs/>
      <w:sz w:val="18"/>
      <w:szCs w:val="18"/>
      <w:lang w:val="en-US" w:eastAsia="en-US"/>
    </w:rPr>
  </w:style>
  <w:style w:type="paragraph" w:customStyle="1" w:styleId="FigureHeading">
    <w:name w:val="Figure Heading"/>
    <w:basedOn w:val="Normal"/>
    <w:qFormat/>
    <w:rsid w:val="007E2A3D"/>
    <w:pPr>
      <w:keepNext/>
      <w:numPr>
        <w:numId w:val="2"/>
      </w:numPr>
      <w:spacing w:before="24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6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F6"/>
    <w:rPr>
      <w:rFonts w:ascii="Times New Roman" w:hAnsi="Times New Roman" w:cs="Arial"/>
      <w:sz w:val="24"/>
      <w:szCs w:val="24"/>
      <w:lang w:val="en-GB" w:eastAsia="fr-FR" w:bidi="en-US"/>
    </w:rPr>
  </w:style>
  <w:style w:type="paragraph" w:styleId="Footer">
    <w:name w:val="footer"/>
    <w:basedOn w:val="Normal"/>
    <w:link w:val="FooterChar"/>
    <w:uiPriority w:val="99"/>
    <w:unhideWhenUsed/>
    <w:rsid w:val="00966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F6"/>
    <w:rPr>
      <w:rFonts w:ascii="Times New Roman" w:hAnsi="Times New Roman" w:cs="Arial"/>
      <w:sz w:val="24"/>
      <w:szCs w:val="24"/>
      <w:lang w:val="en-GB" w:eastAsia="fr-FR" w:bidi="en-US"/>
    </w:rPr>
  </w:style>
  <w:style w:type="table" w:styleId="TableGrid">
    <w:name w:val="Table Grid"/>
    <w:basedOn w:val="TableNormal"/>
    <w:uiPriority w:val="59"/>
    <w:rsid w:val="0096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6A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0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DF9C-E8BC-46FA-8DB2-8730B4886182}"/>
      </w:docPartPr>
      <w:docPartBody>
        <w:p w:rsidR="00000000" w:rsidRDefault="00284FE0">
          <w:r w:rsidRPr="00F27E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Medium">
    <w:altName w:val="Centaur"/>
    <w:panose1 w:val="02010504060101020104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-Regular">
    <w:altName w:val="Centaur"/>
    <w:panose1 w:val="02010504060101020104"/>
    <w:charset w:val="00"/>
    <w:family w:val="auto"/>
    <w:pitch w:val="variable"/>
    <w:sig w:usb0="8000002F" w:usb1="0000000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E0"/>
    <w:rsid w:val="002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F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F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5CA4-5F74-4834-8310-E10AB35C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ITEP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zahid.idrees</dc:creator>
  <cp:lastModifiedBy>Faten.Shwedeh</cp:lastModifiedBy>
  <cp:revision>4</cp:revision>
  <dcterms:created xsi:type="dcterms:W3CDTF">2011-07-05T12:15:00Z</dcterms:created>
  <dcterms:modified xsi:type="dcterms:W3CDTF">2011-07-06T11:25:00Z</dcterms:modified>
</cp:coreProperties>
</file>